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hAnsi="宋体" w:eastAsia="宋体" w:cs="宋体" w:asciiTheme="minorAscii"/>
          <w:b/>
          <w:bCs/>
          <w:sz w:val="28"/>
          <w:szCs w:val="36"/>
          <w:lang w:val="en-US" w:eastAsia="zh-CN"/>
        </w:rPr>
      </w:pPr>
      <w:r>
        <w:rPr>
          <w:rFonts w:hint="eastAsia" w:hAnsi="宋体" w:eastAsia="宋体" w:cs="宋体" w:asciiTheme="minorAscii"/>
          <w:sz w:val="28"/>
          <w:szCs w:val="36"/>
          <w:lang w:val="en-US" w:eastAsia="zh-CN"/>
        </w:rPr>
        <w:t xml:space="preserve">必读3  </w:t>
      </w:r>
      <w:r>
        <w:rPr>
          <w:rFonts w:hint="eastAsia" w:hAnsi="宋体" w:eastAsia="宋体" w:cs="宋体" w:asciiTheme="minorAscii"/>
          <w:b/>
          <w:bCs/>
          <w:sz w:val="28"/>
          <w:szCs w:val="36"/>
          <w:lang w:val="en-US" w:eastAsia="zh-CN"/>
        </w:rPr>
        <w:t>宏观经济基本面因素</w:t>
      </w:r>
    </w:p>
    <w:p>
      <w:pPr>
        <w:rPr>
          <w:rFonts w:hint="eastAsia" w:hAnsi="宋体" w:eastAsia="宋体" w:cs="宋体" w:asciiTheme="minorAscii"/>
          <w:sz w:val="28"/>
          <w:szCs w:val="36"/>
          <w:lang w:val="en-US" w:eastAsia="zh-CN"/>
        </w:rPr>
      </w:pPr>
      <w:r>
        <w:rPr>
          <w:rFonts w:hint="eastAsia" w:hAnsi="宋体" w:eastAsia="宋体" w:cs="宋体" w:asciiTheme="minorAscii"/>
          <w:sz w:val="28"/>
          <w:szCs w:val="36"/>
          <w:lang w:val="en-US" w:eastAsia="zh-CN"/>
        </w:rPr>
        <w:t xml:space="preserve">We find that </w:t>
      </w:r>
      <w:r>
        <w:rPr>
          <w:rFonts w:hint="eastAsia" w:hAnsi="宋体" w:eastAsia="宋体" w:cs="宋体" w:asciiTheme="minorAscii"/>
          <w:b/>
          <w:bCs/>
          <w:color w:val="FF0000"/>
          <w:sz w:val="28"/>
          <w:szCs w:val="36"/>
          <w:lang w:val="en-US" w:eastAsia="zh-CN"/>
        </w:rPr>
        <w:t>real and inflation</w:t>
      </w:r>
      <w:r>
        <w:rPr>
          <w:rFonts w:hint="eastAsia" w:hAnsi="宋体" w:eastAsia="宋体" w:cs="宋体" w:asciiTheme="minorAscii"/>
          <w:sz w:val="28"/>
          <w:szCs w:val="36"/>
          <w:lang w:val="en-US" w:eastAsia="zh-CN"/>
        </w:rPr>
        <w:t xml:space="preserve"> factors </w:t>
      </w:r>
      <w:r>
        <w:rPr>
          <w:rFonts w:hint="eastAsia" w:hAnsi="宋体" w:eastAsia="宋体" w:cs="宋体" w:asciiTheme="minorAscii"/>
          <w:b/>
          <w:bCs/>
          <w:sz w:val="28"/>
          <w:szCs w:val="36"/>
          <w:lang w:val="en-US" w:eastAsia="zh-CN"/>
        </w:rPr>
        <w:t xml:space="preserve">have important forecasting power </w:t>
      </w:r>
      <w:r>
        <w:rPr>
          <w:rFonts w:hint="eastAsia" w:hAnsi="宋体" w:eastAsia="宋体" w:cs="宋体" w:asciiTheme="minorAscii"/>
          <w:color w:val="00B0F0"/>
          <w:sz w:val="28"/>
          <w:szCs w:val="36"/>
          <w:lang w:val="en-US" w:eastAsia="zh-CN"/>
        </w:rPr>
        <w:t>for future excess returns</w:t>
      </w:r>
      <w:r>
        <w:rPr>
          <w:rFonts w:hint="eastAsia" w:hAnsi="宋体" w:eastAsia="宋体" w:cs="宋体" w:asciiTheme="minorAscii"/>
          <w:sz w:val="28"/>
          <w:szCs w:val="36"/>
          <w:lang w:val="en-US" w:eastAsia="zh-CN"/>
        </w:rPr>
        <w:t xml:space="preserve"> on U.S. government bonds, above and beyond the predictive power contained in forward rates and yield spreads. </w:t>
      </w:r>
    </w:p>
    <w:p>
      <w:pPr>
        <w:rPr>
          <w:rFonts w:hint="eastAsia" w:hAnsi="宋体" w:eastAsia="宋体" w:cs="宋体" w:asciiTheme="minorAscii"/>
          <w:sz w:val="28"/>
          <w:szCs w:val="36"/>
          <w:lang w:val="en-US" w:eastAsia="zh-CN"/>
        </w:rPr>
      </w:pPr>
      <w:r>
        <w:rPr>
          <w:rFonts w:hint="eastAsia" w:hAnsi="宋体" w:eastAsia="宋体" w:cs="宋体" w:asciiTheme="minorAscii"/>
          <w:sz w:val="28"/>
          <w:szCs w:val="36"/>
          <w:lang w:val="en-US" w:eastAsia="zh-CN"/>
        </w:rPr>
        <w:t xml:space="preserve"> 本文探讨两个问题：</w:t>
      </w:r>
    </w:p>
    <w:p>
      <w:pPr>
        <w:rPr>
          <w:rFonts w:ascii="Arial" w:hAnsi="Arial" w:eastAsia="宋体" w:cs="Arial"/>
          <w:b w:val="0"/>
          <w:i w:val="0"/>
          <w:caps w:val="0"/>
          <w:color w:val="333333"/>
          <w:spacing w:val="0"/>
          <w:sz w:val="24"/>
          <w:szCs w:val="24"/>
          <w:shd w:val="clear" w:fill="F7F8FA"/>
        </w:rPr>
      </w:pPr>
      <w:r>
        <w:rPr>
          <w:rFonts w:ascii="Arial" w:hAnsi="Arial" w:eastAsia="宋体" w:cs="Arial"/>
          <w:b w:val="0"/>
          <w:i w:val="0"/>
          <w:caps w:val="0"/>
          <w:color w:val="333333"/>
          <w:spacing w:val="0"/>
          <w:sz w:val="24"/>
          <w:szCs w:val="24"/>
          <w:shd w:val="clear" w:fill="F7F8FA"/>
        </w:rPr>
        <w:t>首先，债券市场风险溢价的变动是否与周期性宏观经济活动有直接关系?</w:t>
      </w:r>
    </w:p>
    <w:p>
      <w:pPr>
        <w:rPr>
          <w:rFonts w:hint="default" w:ascii="Arial" w:hAnsi="Arial" w:eastAsia="宋体" w:cs="Arial"/>
          <w:b w:val="0"/>
          <w:i w:val="0"/>
          <w:caps w:val="0"/>
          <w:color w:val="333333"/>
          <w:spacing w:val="0"/>
          <w:sz w:val="24"/>
          <w:szCs w:val="24"/>
          <w:shd w:val="clear" w:fill="F7F8FA"/>
        </w:rPr>
      </w:pPr>
      <w:r>
        <w:rPr>
          <w:rFonts w:hint="default" w:ascii="Arial" w:hAnsi="Arial" w:eastAsia="宋体" w:cs="Arial"/>
          <w:b w:val="0"/>
          <w:i w:val="0"/>
          <w:caps w:val="0"/>
          <w:color w:val="333333"/>
          <w:spacing w:val="0"/>
          <w:sz w:val="24"/>
          <w:szCs w:val="24"/>
          <w:shd w:val="clear" w:fill="F7F8FA"/>
        </w:rPr>
        <w:t>其次，如果是这样，宏观经济基本面是否包含了债券市场数据中尚未包含的风险溢价信息</w:t>
      </w:r>
    </w:p>
    <w:p>
      <w:pPr>
        <w:rPr>
          <w:rFonts w:hint="default" w:ascii="Arial" w:hAnsi="Arial" w:eastAsia="宋体" w:cs="Arial"/>
          <w:b w:val="0"/>
          <w:i w:val="0"/>
          <w:caps w:val="0"/>
          <w:color w:val="333333"/>
          <w:spacing w:val="0"/>
          <w:sz w:val="24"/>
          <w:szCs w:val="24"/>
          <w:shd w:val="clear" w:fill="F7F8FA"/>
        </w:rPr>
      </w:pPr>
    </w:p>
    <w:p>
      <w:pPr>
        <w:rPr>
          <w:rFonts w:hint="default" w:ascii="Arial" w:hAnsi="Arial" w:eastAsia="宋体" w:cs="Arial"/>
          <w:b w:val="0"/>
          <w:i w:val="0"/>
          <w:caps w:val="0"/>
          <w:color w:val="333333"/>
          <w:spacing w:val="0"/>
          <w:sz w:val="24"/>
          <w:szCs w:val="24"/>
          <w:shd w:val="clear" w:fill="F7F8FA"/>
          <w:lang w:val="en-US" w:eastAsia="zh-CN"/>
        </w:rPr>
      </w:pPr>
      <w:r>
        <w:rPr>
          <w:rFonts w:hint="eastAsia" w:ascii="Arial" w:hAnsi="Arial" w:eastAsia="宋体" w:cs="Arial"/>
          <w:b w:val="0"/>
          <w:i w:val="0"/>
          <w:caps w:val="0"/>
          <w:color w:val="333333"/>
          <w:spacing w:val="0"/>
          <w:sz w:val="24"/>
          <w:szCs w:val="24"/>
          <w:shd w:val="clear" w:fill="F7F8FA"/>
          <w:lang w:val="en-US" w:eastAsia="zh-CN"/>
        </w:rPr>
        <w:t>作者</w:t>
      </w:r>
      <w:r>
        <w:rPr>
          <w:rFonts w:hint="default" w:ascii="Arial" w:hAnsi="Arial" w:eastAsia="宋体" w:cs="Arial"/>
          <w:b w:val="0"/>
          <w:i w:val="0"/>
          <w:caps w:val="0"/>
          <w:color w:val="333333"/>
          <w:spacing w:val="0"/>
          <w:sz w:val="24"/>
          <w:szCs w:val="24"/>
          <w:shd w:val="clear" w:fill="F7F8FA"/>
          <w:lang w:val="en-US" w:eastAsia="zh-CN"/>
        </w:rPr>
        <w:t>通过每月评估132项经济活动指标的共同因素，来讨论债券风险溢价中是否存在重要的宏观因素的问题。</w:t>
      </w:r>
    </w:p>
    <w:p>
      <w:pPr>
        <w:rPr>
          <w:rFonts w:hint="default" w:ascii="Arial" w:hAnsi="Arial" w:eastAsia="宋体" w:cs="Arial"/>
          <w:b w:val="0"/>
          <w:i w:val="0"/>
          <w:caps w:val="0"/>
          <w:color w:val="333333"/>
          <w:spacing w:val="0"/>
          <w:sz w:val="24"/>
          <w:szCs w:val="24"/>
          <w:shd w:val="clear" w:fill="F7F8FA"/>
          <w:lang w:val="en-US" w:eastAsia="zh-CN"/>
        </w:rPr>
      </w:pPr>
    </w:p>
    <w:p>
      <w:pPr>
        <w:rPr>
          <w:rFonts w:hint="default" w:ascii="Arial" w:hAnsi="Arial" w:eastAsia="宋体" w:cs="Arial"/>
          <w:b/>
          <w:bCs/>
          <w:i w:val="0"/>
          <w:caps w:val="0"/>
          <w:color w:val="333333"/>
          <w:spacing w:val="0"/>
          <w:sz w:val="24"/>
          <w:szCs w:val="24"/>
          <w:shd w:val="clear" w:fill="F7F8FA"/>
          <w:lang w:val="en-US" w:eastAsia="zh-CN"/>
        </w:rPr>
      </w:pPr>
      <w:r>
        <w:rPr>
          <w:rFonts w:hint="default" w:ascii="Arial" w:hAnsi="Arial" w:eastAsia="宋体" w:cs="Arial"/>
          <w:b w:val="0"/>
          <w:i w:val="0"/>
          <w:caps w:val="0"/>
          <w:color w:val="333333"/>
          <w:spacing w:val="0"/>
          <w:sz w:val="24"/>
          <w:szCs w:val="24"/>
          <w:shd w:val="clear" w:fill="F7F8FA"/>
          <w:lang w:val="en-US" w:eastAsia="zh-CN"/>
        </w:rPr>
        <w:t>研究结果表明，超额债券收益确实可以由宏观经济基本面的预测，并且我们发现债券风险溢价存在</w:t>
      </w:r>
      <w:r>
        <w:rPr>
          <w:rFonts w:hint="default" w:ascii="Arial" w:hAnsi="Arial" w:eastAsia="宋体" w:cs="Arial"/>
          <w:b/>
          <w:bCs/>
          <w:i w:val="0"/>
          <w:caps w:val="0"/>
          <w:color w:val="333333"/>
          <w:spacing w:val="0"/>
          <w:sz w:val="24"/>
          <w:szCs w:val="24"/>
          <w:shd w:val="clear" w:fill="F7F8FA"/>
          <w:lang w:val="en-US" w:eastAsia="zh-CN"/>
        </w:rPr>
        <w:t>显著的反周期变化</w:t>
      </w:r>
    </w:p>
    <w:p>
      <w:pPr>
        <w:rPr>
          <w:rFonts w:hint="default" w:ascii="Arial" w:hAnsi="Arial" w:eastAsia="宋体" w:cs="Arial"/>
          <w:b/>
          <w:bCs/>
          <w:i w:val="0"/>
          <w:caps w:val="0"/>
          <w:color w:val="333333"/>
          <w:spacing w:val="0"/>
          <w:sz w:val="24"/>
          <w:szCs w:val="24"/>
          <w:shd w:val="clear" w:fill="F7F8FA"/>
          <w:lang w:val="en-US" w:eastAsia="zh-CN"/>
        </w:rPr>
      </w:pPr>
    </w:p>
    <w:p>
      <w:pPr>
        <w:rPr>
          <w:rFonts w:hint="eastAsia" w:ascii="Arial" w:hAnsi="Arial" w:eastAsia="宋体" w:cs="Arial"/>
          <w:b/>
          <w:bCs/>
          <w:i w:val="0"/>
          <w:caps w:val="0"/>
          <w:color w:val="333333"/>
          <w:spacing w:val="0"/>
          <w:sz w:val="24"/>
          <w:szCs w:val="24"/>
          <w:shd w:val="clear" w:fill="F7F8FA"/>
          <w:lang w:val="en-US" w:eastAsia="zh-CN"/>
        </w:rPr>
      </w:pPr>
    </w:p>
    <w:p>
      <w:pPr>
        <w:rPr>
          <w:rFonts w:hint="default" w:ascii="Arial" w:hAnsi="Arial" w:eastAsia="宋体" w:cs="Arial"/>
          <w:b/>
          <w:bCs/>
          <w:i w:val="0"/>
          <w:caps w:val="0"/>
          <w:color w:val="333333"/>
          <w:spacing w:val="0"/>
          <w:sz w:val="24"/>
          <w:szCs w:val="24"/>
          <w:shd w:val="clear" w:fill="F7F8FA"/>
          <w:lang w:val="en-US" w:eastAsia="zh-CN"/>
        </w:rPr>
      </w:pPr>
      <w:r>
        <w:rPr>
          <w:rFonts w:hint="eastAsia" w:ascii="Arial" w:hAnsi="Arial" w:eastAsia="宋体" w:cs="Arial"/>
          <w:b/>
          <w:bCs/>
          <w:i w:val="0"/>
          <w:caps w:val="0"/>
          <w:color w:val="333333"/>
          <w:spacing w:val="0"/>
          <w:sz w:val="24"/>
          <w:szCs w:val="24"/>
          <w:shd w:val="clear" w:fill="F7F8FA"/>
          <w:lang w:val="en-US" w:eastAsia="zh-CN"/>
        </w:rPr>
        <w:t>数据选择：</w:t>
      </w:r>
    </w:p>
    <w:p>
      <w:pPr>
        <w:rPr>
          <w:rFonts w:hint="default" w:ascii="Arial" w:hAnsi="Arial" w:eastAsia="宋体" w:cs="Arial"/>
          <w:b w:val="0"/>
          <w:bCs w:val="0"/>
          <w:i w:val="0"/>
          <w:caps w:val="0"/>
          <w:color w:val="333333"/>
          <w:spacing w:val="0"/>
          <w:sz w:val="24"/>
          <w:szCs w:val="24"/>
          <w:shd w:val="clear" w:fill="F7F8FA"/>
          <w:lang w:val="en-US" w:eastAsia="zh-CN"/>
        </w:rPr>
      </w:pPr>
    </w:p>
    <w:p>
      <w:pPr>
        <w:rPr>
          <w:rFonts w:hint="default" w:ascii="Arial" w:hAnsi="Arial" w:eastAsia="宋体" w:cs="Arial"/>
          <w:b w:val="0"/>
          <w:bCs w:val="0"/>
          <w:i w:val="0"/>
          <w:caps w:val="0"/>
          <w:color w:val="333333"/>
          <w:spacing w:val="0"/>
          <w:sz w:val="24"/>
          <w:szCs w:val="24"/>
          <w:shd w:val="clear" w:fill="F7F8FA"/>
          <w:lang w:val="en-US" w:eastAsia="zh-CN"/>
        </w:rPr>
      </w:pPr>
      <w:r>
        <w:rPr>
          <w:rFonts w:hint="default" w:ascii="Arial" w:hAnsi="Arial" w:eastAsia="宋体" w:cs="Arial"/>
          <w:b w:val="0"/>
          <w:bCs w:val="0"/>
          <w:i w:val="0"/>
          <w:caps w:val="0"/>
          <w:color w:val="333333"/>
          <w:spacing w:val="0"/>
          <w:sz w:val="24"/>
          <w:szCs w:val="24"/>
          <w:shd w:val="clear" w:fill="F7F8FA"/>
          <w:lang w:val="en-US" w:eastAsia="zh-CN"/>
        </w:rPr>
        <w:t>代表宏观经济时间序列的大类:</w:t>
      </w:r>
      <w:r>
        <w:rPr>
          <w:rFonts w:hint="default" w:ascii="Arial" w:hAnsi="Arial" w:eastAsia="宋体" w:cs="Arial"/>
          <w:b/>
          <w:bCs/>
          <w:i w:val="0"/>
          <w:caps w:val="0"/>
          <w:color w:val="333333"/>
          <w:spacing w:val="0"/>
          <w:sz w:val="24"/>
          <w:szCs w:val="24"/>
          <w:shd w:val="clear" w:fill="F7F8FA"/>
          <w:lang w:val="en-US" w:eastAsia="zh-CN"/>
        </w:rPr>
        <w:t>实际产出和收入、就业和小时,真正的零售、制造和销售数据,国际贸易,消费支出,房屋开工,库存和库存销售比率,订单和未交货订单,补偿和劳动力成本,产能利用率的措施,物价指数、利率和利率的利差,股票市场指标,和外汇措施</w:t>
      </w:r>
      <w:r>
        <w:rPr>
          <w:rFonts w:hint="default" w:ascii="Arial" w:hAnsi="Arial" w:eastAsia="宋体" w:cs="Arial"/>
          <w:b w:val="0"/>
          <w:bCs w:val="0"/>
          <w:i w:val="0"/>
          <w:caps w:val="0"/>
          <w:color w:val="333333"/>
          <w:spacing w:val="0"/>
          <w:sz w:val="24"/>
          <w:szCs w:val="24"/>
          <w:shd w:val="clear" w:fill="F7F8FA"/>
          <w:lang w:val="en-US" w:eastAsia="zh-CN"/>
        </w:rPr>
        <w:t>。</w:t>
      </w:r>
    </w:p>
    <w:p>
      <w:pPr>
        <w:rPr>
          <w:rFonts w:hint="eastAsia" w:ascii="Arial" w:hAnsi="Arial" w:eastAsia="宋体" w:cs="Arial"/>
          <w:b w:val="0"/>
          <w:bCs w:val="0"/>
          <w:i w:val="0"/>
          <w:caps w:val="0"/>
          <w:color w:val="00B0F0"/>
          <w:spacing w:val="0"/>
          <w:sz w:val="24"/>
          <w:szCs w:val="24"/>
          <w:shd w:val="clear" w:fill="F7F8FA"/>
          <w:lang w:val="en-US" w:eastAsia="zh-CN"/>
        </w:rPr>
      </w:pPr>
    </w:p>
    <w:p>
      <w:pPr>
        <w:rPr>
          <w:rFonts w:hint="eastAsia" w:ascii="Arial" w:hAnsi="Arial" w:eastAsia="宋体" w:cs="Arial"/>
          <w:b w:val="0"/>
          <w:bCs w:val="0"/>
          <w:i w:val="0"/>
          <w:caps w:val="0"/>
          <w:color w:val="00B0F0"/>
          <w:spacing w:val="0"/>
          <w:sz w:val="24"/>
          <w:szCs w:val="24"/>
          <w:shd w:val="clear" w:fill="F7F8FA"/>
          <w:lang w:val="en-US" w:eastAsia="zh-CN"/>
        </w:rPr>
      </w:pPr>
      <w:r>
        <w:rPr>
          <w:rFonts w:hint="eastAsia" w:ascii="Arial" w:hAnsi="Arial" w:eastAsia="宋体" w:cs="Arial"/>
          <w:b w:val="0"/>
          <w:bCs w:val="0"/>
          <w:i w:val="0"/>
          <w:caps w:val="0"/>
          <w:color w:val="00B0F0"/>
          <w:spacing w:val="0"/>
          <w:sz w:val="24"/>
          <w:szCs w:val="24"/>
          <w:shd w:val="clear" w:fill="F7F8FA"/>
          <w:lang w:val="en-US" w:eastAsia="zh-CN"/>
        </w:rPr>
        <w:t>数据的拟合是用</w:t>
      </w:r>
      <w:r>
        <w:rPr>
          <w:rFonts w:hint="eastAsia" w:ascii="Arial" w:hAnsi="Arial" w:eastAsia="宋体" w:cs="Arial"/>
          <w:b w:val="0"/>
          <w:bCs w:val="0"/>
          <w:i w:val="0"/>
          <w:caps w:val="0"/>
          <w:color w:val="FF0000"/>
          <w:spacing w:val="0"/>
          <w:sz w:val="24"/>
          <w:szCs w:val="24"/>
          <w:shd w:val="clear" w:fill="F7F8FA"/>
          <w:lang w:val="en-US" w:eastAsia="zh-CN"/>
        </w:rPr>
        <w:t>主成分法估计</w:t>
      </w:r>
      <w:r>
        <w:rPr>
          <w:rFonts w:hint="eastAsia" w:ascii="Arial" w:hAnsi="Arial" w:eastAsia="宋体" w:cs="Arial"/>
          <w:b w:val="0"/>
          <w:bCs w:val="0"/>
          <w:i w:val="0"/>
          <w:caps w:val="0"/>
          <w:color w:val="00B0F0"/>
          <w:spacing w:val="0"/>
          <w:sz w:val="24"/>
          <w:szCs w:val="24"/>
          <w:shd w:val="clear" w:fill="F7F8FA"/>
          <w:lang w:val="en-US" w:eastAsia="zh-CN"/>
        </w:rPr>
        <w:t>的，使用一组数据，其中包含132个经济活动指标，从t = 1964:1 2003:12(480个时间序列观察)。在估计之前，</w:t>
      </w:r>
      <w:r>
        <w:rPr>
          <w:rFonts w:hint="eastAsia" w:ascii="Arial" w:hAnsi="Arial" w:eastAsia="宋体" w:cs="Arial"/>
          <w:b/>
          <w:bCs/>
          <w:i w:val="0"/>
          <w:caps w:val="0"/>
          <w:color w:val="00B0F0"/>
          <w:spacing w:val="0"/>
          <w:sz w:val="24"/>
          <w:szCs w:val="24"/>
          <w:shd w:val="clear" w:fill="F7F8FA"/>
          <w:lang w:val="en-US" w:eastAsia="zh-CN"/>
        </w:rPr>
        <w:t>对数据进行转换</w:t>
      </w:r>
      <w:r>
        <w:rPr>
          <w:rFonts w:hint="eastAsia" w:ascii="Arial" w:hAnsi="Arial" w:eastAsia="宋体" w:cs="Arial"/>
          <w:b w:val="0"/>
          <w:bCs w:val="0"/>
          <w:i w:val="0"/>
          <w:caps w:val="0"/>
          <w:color w:val="00B0F0"/>
          <w:spacing w:val="0"/>
          <w:sz w:val="24"/>
          <w:szCs w:val="24"/>
          <w:shd w:val="clear" w:fill="F7F8FA"/>
          <w:lang w:val="en-US" w:eastAsia="zh-CN"/>
        </w:rPr>
        <w:t>(在适当的地方进行记录和差异)和标准化。</w:t>
      </w:r>
    </w:p>
    <w:p>
      <w:pPr>
        <w:rPr>
          <w:rFonts w:hint="eastAsia" w:ascii="Arial" w:hAnsi="Arial" w:eastAsia="宋体" w:cs="Arial"/>
          <w:b w:val="0"/>
          <w:bCs w:val="0"/>
          <w:i w:val="0"/>
          <w:caps w:val="0"/>
          <w:color w:val="00B0F0"/>
          <w:spacing w:val="0"/>
          <w:sz w:val="24"/>
          <w:szCs w:val="24"/>
          <w:shd w:val="clear" w:fill="F7F8FA"/>
          <w:lang w:val="en-US" w:eastAsia="zh-CN"/>
        </w:rPr>
      </w:pPr>
      <w:r>
        <w:rPr>
          <w:rFonts w:hint="eastAsia" w:ascii="Arial" w:hAnsi="Arial" w:eastAsia="宋体" w:cs="Arial"/>
          <w:b w:val="0"/>
          <w:bCs w:val="0"/>
          <w:i w:val="0"/>
          <w:caps w:val="0"/>
          <w:color w:val="00B0F0"/>
          <w:spacing w:val="0"/>
          <w:sz w:val="24"/>
          <w:szCs w:val="24"/>
          <w:shd w:val="clear" w:fill="F7F8FA"/>
          <w:lang w:val="en-US" w:eastAsia="zh-CN"/>
        </w:rPr>
        <w:t>AR1(fit)为因子i的一阶自相关系数，公共分量Ri2的相对重要性计算为因子1解释的数据对i的总方差的分数。</w:t>
      </w:r>
    </w:p>
    <w:p>
      <w:pPr>
        <w:rPr>
          <w:rFonts w:hint="eastAsia" w:ascii="Arial" w:hAnsi="Arial" w:eastAsia="宋体" w:cs="Arial"/>
          <w:b w:val="0"/>
          <w:bCs w:val="0"/>
          <w:i w:val="0"/>
          <w:caps w:val="0"/>
          <w:color w:val="00B0F0"/>
          <w:spacing w:val="0"/>
          <w:sz w:val="24"/>
          <w:szCs w:val="24"/>
          <w:shd w:val="clear" w:fill="F7F8FA"/>
          <w:lang w:val="en-US" w:eastAsia="zh-CN"/>
        </w:rPr>
      </w:pPr>
      <w:r>
        <w:rPr>
          <w:rFonts w:hint="eastAsia" w:ascii="Arial" w:hAnsi="Arial" w:eastAsia="宋体" w:cs="Arial"/>
          <w:b/>
          <w:bCs/>
          <w:i w:val="0"/>
          <w:caps w:val="0"/>
          <w:color w:val="333333"/>
          <w:spacing w:val="0"/>
          <w:sz w:val="24"/>
          <w:szCs w:val="24"/>
          <w:shd w:val="clear" w:fill="F7F8FA"/>
          <w:lang w:val="en-US" w:eastAsia="zh-CN"/>
        </w:rPr>
        <w:t>（</w:t>
      </w:r>
      <w:r>
        <w:rPr>
          <w:rFonts w:hint="default" w:ascii="Arial" w:hAnsi="Arial" w:eastAsia="宋体" w:cs="Arial"/>
          <w:b/>
          <w:bCs/>
          <w:i w:val="0"/>
          <w:caps w:val="0"/>
          <w:color w:val="333333"/>
          <w:spacing w:val="0"/>
          <w:sz w:val="24"/>
          <w:szCs w:val="24"/>
          <w:shd w:val="clear" w:fill="F7F8FA"/>
          <w:lang w:val="en-US" w:eastAsia="zh-CN"/>
        </w:rPr>
        <w:t>estimate factors from a balanced panel of 132 monthly economic series, each spanning the period 1964:1 2003:12</w:t>
      </w:r>
      <w:r>
        <w:rPr>
          <w:rFonts w:hint="eastAsia" w:ascii="Arial" w:hAnsi="Arial" w:eastAsia="宋体" w:cs="Arial"/>
          <w:b/>
          <w:bCs/>
          <w:i w:val="0"/>
          <w:caps w:val="0"/>
          <w:color w:val="333333"/>
          <w:spacing w:val="0"/>
          <w:sz w:val="24"/>
          <w:szCs w:val="24"/>
          <w:shd w:val="clear" w:fill="F7F8FA"/>
          <w:lang w:val="en-US" w:eastAsia="zh-CN"/>
        </w:rPr>
        <w:t>）</w:t>
      </w:r>
      <w:r>
        <w:rPr>
          <w:rFonts w:hint="default" w:ascii="Arial" w:hAnsi="Arial" w:eastAsia="宋体" w:cs="Arial"/>
          <w:b/>
          <w:bCs/>
          <w:i w:val="0"/>
          <w:caps w:val="0"/>
          <w:color w:val="333333"/>
          <w:spacing w:val="0"/>
          <w:sz w:val="24"/>
          <w:szCs w:val="24"/>
          <w:shd w:val="clear" w:fill="F7F8FA"/>
          <w:lang w:val="en-US" w:eastAsia="zh-CN"/>
        </w:rPr>
        <w:t xml:space="preserve">. </w:t>
      </w:r>
    </w:p>
    <w:p>
      <w:pPr>
        <w:rPr>
          <w:rFonts w:hint="eastAsia" w:ascii="Arial" w:hAnsi="Arial" w:eastAsia="宋体" w:cs="Arial"/>
          <w:b w:val="0"/>
          <w:bCs w:val="0"/>
          <w:i w:val="0"/>
          <w:caps w:val="0"/>
          <w:color w:val="00B0F0"/>
          <w:spacing w:val="0"/>
          <w:sz w:val="24"/>
          <w:szCs w:val="24"/>
          <w:shd w:val="clear" w:fill="F7F8FA"/>
          <w:lang w:val="en-US" w:eastAsia="zh-CN"/>
        </w:rPr>
      </w:pPr>
    </w:p>
    <w:p>
      <w:pPr>
        <w:rPr>
          <w:rFonts w:hint="eastAsia" w:ascii="Arial" w:hAnsi="Arial" w:eastAsia="宋体" w:cs="Arial"/>
          <w:b w:val="0"/>
          <w:bCs w:val="0"/>
          <w:i w:val="0"/>
          <w:caps w:val="0"/>
          <w:color w:val="00B0F0"/>
          <w:spacing w:val="0"/>
          <w:sz w:val="24"/>
          <w:szCs w:val="24"/>
          <w:shd w:val="clear" w:fill="F7F8FA"/>
          <w:lang w:val="en-US" w:eastAsia="zh-CN"/>
        </w:rPr>
      </w:pPr>
      <w:r>
        <w:rPr>
          <w:rFonts w:hint="eastAsia" w:ascii="Arial" w:hAnsi="Arial" w:eastAsia="宋体" w:cs="Arial"/>
          <w:b w:val="0"/>
          <w:bCs w:val="0"/>
          <w:i w:val="0"/>
          <w:caps w:val="0"/>
          <w:color w:val="00B0F0"/>
          <w:spacing w:val="0"/>
          <w:sz w:val="24"/>
          <w:szCs w:val="24"/>
          <w:shd w:val="clear" w:fill="F7F8FA"/>
          <w:lang w:val="en-US" w:eastAsia="zh-CN"/>
        </w:rPr>
        <w:t>（</w:t>
      </w:r>
      <w:r>
        <w:rPr>
          <w:rFonts w:hint="default" w:ascii="Arial" w:hAnsi="Arial" w:eastAsia="宋体" w:cs="Arial"/>
          <w:b w:val="0"/>
          <w:bCs w:val="0"/>
          <w:i w:val="0"/>
          <w:caps w:val="0"/>
          <w:color w:val="00B0F0"/>
          <w:spacing w:val="0"/>
          <w:sz w:val="24"/>
          <w:szCs w:val="24"/>
          <w:shd w:val="clear" w:fill="F7F8FA"/>
          <w:lang w:val="en-US" w:eastAsia="zh-CN"/>
        </w:rPr>
        <w:t>附录中给出了完整的系列列表</w:t>
      </w:r>
      <w:r>
        <w:rPr>
          <w:rFonts w:hint="eastAsia" w:ascii="Arial" w:hAnsi="Arial" w:eastAsia="宋体" w:cs="Arial"/>
          <w:b w:val="0"/>
          <w:bCs w:val="0"/>
          <w:i w:val="0"/>
          <w:caps w:val="0"/>
          <w:color w:val="00B0F0"/>
          <w:spacing w:val="0"/>
          <w:sz w:val="24"/>
          <w:szCs w:val="24"/>
          <w:shd w:val="clear" w:fill="F7F8FA"/>
          <w:lang w:val="en-US" w:eastAsia="zh-CN"/>
        </w:rPr>
        <w:t>）</w:t>
      </w:r>
    </w:p>
    <w:p>
      <w:pPr>
        <w:rPr>
          <w:rFonts w:hint="eastAsia" w:ascii="Arial" w:hAnsi="Arial" w:eastAsia="宋体" w:cs="Arial"/>
          <w:b w:val="0"/>
          <w:bCs w:val="0"/>
          <w:i w:val="0"/>
          <w:caps w:val="0"/>
          <w:color w:val="000000" w:themeColor="text1"/>
          <w:spacing w:val="0"/>
          <w:sz w:val="24"/>
          <w:szCs w:val="24"/>
          <w:shd w:val="clear" w:fill="F7F8FA"/>
          <w:lang w:val="en-US" w:eastAsia="zh-CN"/>
          <w14:textFill>
            <w14:solidFill>
              <w14:schemeClr w14:val="tx1"/>
            </w14:solidFill>
          </w14:textFill>
        </w:rPr>
      </w:pPr>
      <w:r>
        <w:rPr>
          <w:rFonts w:hint="eastAsia" w:ascii="Arial" w:hAnsi="Arial" w:eastAsia="宋体" w:cs="Arial"/>
          <w:b w:val="0"/>
          <w:bCs w:val="0"/>
          <w:i w:val="0"/>
          <w:caps w:val="0"/>
          <w:color w:val="000000" w:themeColor="text1"/>
          <w:spacing w:val="0"/>
          <w:sz w:val="24"/>
          <w:szCs w:val="24"/>
          <w:shd w:val="clear" w:fill="F7F8FA"/>
          <w:lang w:val="en-US" w:eastAsia="zh-CN"/>
          <w14:textFill>
            <w14:solidFill>
              <w14:schemeClr w14:val="tx1"/>
            </w14:solidFill>
          </w14:textFill>
        </w:rPr>
        <w:t xml:space="preserve">All series are from </w:t>
      </w:r>
      <w:r>
        <w:rPr>
          <w:rFonts w:hint="eastAsia" w:ascii="Arial" w:hAnsi="Arial" w:eastAsia="宋体" w:cs="Arial"/>
          <w:b/>
          <w:bCs/>
          <w:i w:val="0"/>
          <w:caps w:val="0"/>
          <w:color w:val="000000" w:themeColor="text1"/>
          <w:spacing w:val="0"/>
          <w:sz w:val="28"/>
          <w:szCs w:val="28"/>
          <w:shd w:val="clear" w:fill="F7F8FA"/>
          <w:lang w:val="en-US" w:eastAsia="zh-CN"/>
          <w14:textFill>
            <w14:solidFill>
              <w14:schemeClr w14:val="tx1"/>
            </w14:solidFill>
          </w14:textFill>
        </w:rPr>
        <w:t>the Global Insights Basic Economics Database</w:t>
      </w:r>
      <w:r>
        <w:rPr>
          <w:rFonts w:hint="eastAsia" w:ascii="Arial" w:hAnsi="Arial" w:eastAsia="宋体" w:cs="Arial"/>
          <w:b w:val="0"/>
          <w:bCs w:val="0"/>
          <w:i w:val="0"/>
          <w:caps w:val="0"/>
          <w:color w:val="000000" w:themeColor="text1"/>
          <w:spacing w:val="0"/>
          <w:sz w:val="24"/>
          <w:szCs w:val="24"/>
          <w:shd w:val="clear" w:fill="F7F8FA"/>
          <w:lang w:val="en-US" w:eastAsia="zh-CN"/>
          <w14:textFill>
            <w14:solidFill>
              <w14:schemeClr w14:val="tx1"/>
            </w14:solidFill>
          </w14:textFill>
        </w:rPr>
        <w:t xml:space="preserve">, </w:t>
      </w:r>
      <w:r>
        <w:rPr>
          <w:rFonts w:hint="eastAsia" w:ascii="Arial" w:hAnsi="Arial" w:eastAsia="宋体" w:cs="Arial"/>
          <w:b/>
          <w:bCs/>
          <w:i w:val="0"/>
          <w:caps w:val="0"/>
          <w:color w:val="000000" w:themeColor="text1"/>
          <w:spacing w:val="0"/>
          <w:sz w:val="28"/>
          <w:szCs w:val="28"/>
          <w:shd w:val="clear" w:fill="F7F8FA"/>
          <w:lang w:val="en-US" w:eastAsia="zh-CN"/>
          <w14:textFill>
            <w14:solidFill>
              <w14:schemeClr w14:val="tx1"/>
            </w14:solidFill>
          </w14:textFill>
        </w:rPr>
        <w:t xml:space="preserve">TCB </w:t>
      </w:r>
      <w:r>
        <w:rPr>
          <w:rFonts w:hint="eastAsia" w:ascii="Arial" w:hAnsi="Arial" w:eastAsia="宋体" w:cs="Arial"/>
          <w:b w:val="0"/>
          <w:bCs w:val="0"/>
          <w:i w:val="0"/>
          <w:caps w:val="0"/>
          <w:color w:val="000000" w:themeColor="text1"/>
          <w:spacing w:val="0"/>
          <w:sz w:val="24"/>
          <w:szCs w:val="24"/>
          <w:shd w:val="clear" w:fill="F7F8FA"/>
          <w:lang w:val="en-US" w:eastAsia="zh-CN"/>
          <w14:textFill>
            <w14:solidFill>
              <w14:schemeClr w14:val="tx1"/>
            </w14:solidFill>
          </w14:textFill>
        </w:rPr>
        <w:t>(The Conference Board’s Indicators Database) or</w:t>
      </w:r>
      <w:r>
        <w:rPr>
          <w:rFonts w:hint="eastAsia" w:ascii="Arial" w:hAnsi="Arial" w:eastAsia="宋体" w:cs="Arial"/>
          <w:b/>
          <w:bCs/>
          <w:i w:val="0"/>
          <w:caps w:val="0"/>
          <w:color w:val="000000" w:themeColor="text1"/>
          <w:spacing w:val="0"/>
          <w:sz w:val="28"/>
          <w:szCs w:val="28"/>
          <w:shd w:val="clear" w:fill="F7F8FA"/>
          <w:lang w:val="en-US" w:eastAsia="zh-CN"/>
          <w14:textFill>
            <w14:solidFill>
              <w14:schemeClr w14:val="tx1"/>
            </w14:solidFill>
          </w14:textFill>
        </w:rPr>
        <w:t xml:space="preserve"> AC</w:t>
      </w:r>
      <w:r>
        <w:rPr>
          <w:rFonts w:hint="eastAsia" w:ascii="Arial" w:hAnsi="Arial" w:eastAsia="宋体" w:cs="Arial"/>
          <w:b/>
          <w:bCs/>
          <w:i w:val="0"/>
          <w:caps w:val="0"/>
          <w:color w:val="000000" w:themeColor="text1"/>
          <w:spacing w:val="0"/>
          <w:sz w:val="24"/>
          <w:szCs w:val="24"/>
          <w:shd w:val="clear" w:fill="F7F8FA"/>
          <w:lang w:val="en-US" w:eastAsia="zh-CN"/>
          <w14:textFill>
            <w14:solidFill>
              <w14:schemeClr w14:val="tx1"/>
            </w14:solidFill>
          </w14:textFill>
        </w:rPr>
        <w:t xml:space="preserve"> </w:t>
      </w:r>
      <w:r>
        <w:rPr>
          <w:rFonts w:hint="eastAsia" w:ascii="Arial" w:hAnsi="Arial" w:eastAsia="宋体" w:cs="Arial"/>
          <w:b w:val="0"/>
          <w:bCs w:val="0"/>
          <w:i w:val="0"/>
          <w:caps w:val="0"/>
          <w:color w:val="000000" w:themeColor="text1"/>
          <w:spacing w:val="0"/>
          <w:sz w:val="24"/>
          <w:szCs w:val="24"/>
          <w:shd w:val="clear" w:fill="F7F8FA"/>
          <w:lang w:val="en-US" w:eastAsia="zh-CN"/>
          <w14:textFill>
            <w14:solidFill>
              <w14:schemeClr w14:val="tx1"/>
            </w14:solidFill>
          </w14:textFill>
        </w:rPr>
        <w:t>(author’s calculation based on Global</w:t>
      </w:r>
    </w:p>
    <w:p>
      <w:pPr>
        <w:rPr>
          <w:rFonts w:hint="eastAsia" w:ascii="Arial" w:hAnsi="Arial" w:eastAsia="宋体" w:cs="Arial"/>
          <w:b w:val="0"/>
          <w:bCs w:val="0"/>
          <w:i w:val="0"/>
          <w:caps w:val="0"/>
          <w:color w:val="00B0F0"/>
          <w:spacing w:val="0"/>
          <w:sz w:val="24"/>
          <w:szCs w:val="24"/>
          <w:shd w:val="clear" w:fill="F7F8FA"/>
          <w:lang w:val="en-US" w:eastAsia="zh-CN"/>
        </w:rPr>
      </w:pPr>
      <w:r>
        <w:rPr>
          <w:rFonts w:hint="eastAsia" w:ascii="Arial" w:hAnsi="Arial" w:eastAsia="宋体" w:cs="Arial"/>
          <w:b w:val="0"/>
          <w:bCs w:val="0"/>
          <w:i w:val="0"/>
          <w:caps w:val="0"/>
          <w:color w:val="00B0F0"/>
          <w:spacing w:val="0"/>
          <w:sz w:val="24"/>
          <w:szCs w:val="24"/>
          <w:shd w:val="clear" w:fill="F7F8FA"/>
          <w:lang w:val="en-US" w:eastAsia="zh-CN"/>
        </w:rPr>
        <w:t>Insights or TCB data). I</w:t>
      </w:r>
    </w:p>
    <w:p>
      <w:pPr>
        <w:rPr>
          <w:rFonts w:hint="eastAsia" w:ascii="Arial" w:hAnsi="Arial" w:eastAsia="宋体" w:cs="Arial"/>
          <w:b w:val="0"/>
          <w:bCs w:val="0"/>
          <w:i w:val="0"/>
          <w:caps w:val="0"/>
          <w:color w:val="00B0F0"/>
          <w:spacing w:val="0"/>
          <w:sz w:val="24"/>
          <w:szCs w:val="24"/>
          <w:shd w:val="clear" w:fill="F7F8FA"/>
          <w:lang w:val="en-US" w:eastAsia="zh-CN"/>
        </w:rPr>
      </w:pPr>
    </w:p>
    <w:p>
      <w:pPr>
        <w:rPr>
          <w:rFonts w:hint="eastAsia" w:ascii="Arial" w:hAnsi="Arial" w:eastAsia="宋体" w:cs="Arial"/>
          <w:b/>
          <w:bCs/>
          <w:i w:val="0"/>
          <w:caps w:val="0"/>
          <w:color w:val="000000" w:themeColor="text1"/>
          <w:spacing w:val="0"/>
          <w:sz w:val="28"/>
          <w:szCs w:val="28"/>
          <w:shd w:val="clear" w:fill="F7F8FA"/>
          <w:lang w:val="en-US" w:eastAsia="zh-CN"/>
          <w14:textFill>
            <w14:solidFill>
              <w14:schemeClr w14:val="tx1"/>
            </w14:solidFill>
          </w14:textFill>
        </w:rPr>
      </w:pPr>
    </w:p>
    <w:p>
      <w:pPr>
        <w:rPr>
          <w:rFonts w:hint="eastAsia" w:ascii="Arial" w:hAnsi="Arial" w:eastAsia="宋体" w:cs="Arial"/>
          <w:b/>
          <w:bCs/>
          <w:i w:val="0"/>
          <w:caps w:val="0"/>
          <w:color w:val="000000" w:themeColor="text1"/>
          <w:spacing w:val="0"/>
          <w:sz w:val="28"/>
          <w:szCs w:val="28"/>
          <w:shd w:val="clear" w:fill="F7F8FA"/>
          <w:lang w:val="en-US" w:eastAsia="zh-CN"/>
          <w14:textFill>
            <w14:solidFill>
              <w14:schemeClr w14:val="tx1"/>
            </w14:solidFill>
          </w14:textFill>
        </w:rPr>
      </w:pPr>
      <w:r>
        <w:rPr>
          <w:rFonts w:hint="eastAsia" w:ascii="Arial" w:hAnsi="Arial" w:eastAsia="宋体" w:cs="Arial"/>
          <w:b/>
          <w:bCs/>
          <w:i w:val="0"/>
          <w:caps w:val="0"/>
          <w:color w:val="000000" w:themeColor="text1"/>
          <w:spacing w:val="0"/>
          <w:sz w:val="28"/>
          <w:szCs w:val="28"/>
          <w:shd w:val="clear" w:fill="F7F8FA"/>
          <w:lang w:val="en-US" w:eastAsia="zh-CN"/>
          <w14:textFill>
            <w14:solidFill>
              <w14:schemeClr w14:val="tx1"/>
            </w14:solidFill>
          </w14:textFill>
        </w:rPr>
        <w:t>计量模型：</w:t>
      </w:r>
    </w:p>
    <w:p>
      <w:pPr>
        <w:rPr>
          <w:rFonts w:hint="default" w:ascii="Arial" w:hAnsi="Arial" w:eastAsia="宋体" w:cs="Arial"/>
          <w:b/>
          <w:bCs/>
          <w:i w:val="0"/>
          <w:caps w:val="0"/>
          <w:color w:val="000000" w:themeColor="text1"/>
          <w:spacing w:val="0"/>
          <w:sz w:val="28"/>
          <w:szCs w:val="28"/>
          <w:shd w:val="clear" w:fill="F7F8FA"/>
          <w:lang w:val="en-US" w:eastAsia="zh-CN"/>
          <w14:textFill>
            <w14:solidFill>
              <w14:schemeClr w14:val="tx1"/>
            </w14:solidFill>
          </w14:textFill>
        </w:rPr>
      </w:pPr>
      <w:r>
        <w:rPr>
          <w:rFonts w:hint="eastAsia" w:ascii="Arial" w:hAnsi="Arial" w:eastAsia="宋体" w:cs="Arial"/>
          <w:b/>
          <w:bCs/>
          <w:i w:val="0"/>
          <w:caps w:val="0"/>
          <w:color w:val="000000" w:themeColor="text1"/>
          <w:spacing w:val="0"/>
          <w:sz w:val="28"/>
          <w:szCs w:val="28"/>
          <w:shd w:val="clear" w:fill="F7F8FA"/>
          <w:lang w:val="en-US" w:eastAsia="zh-CN"/>
          <w14:textFill>
            <w14:solidFill>
              <w14:schemeClr w14:val="tx1"/>
            </w14:solidFill>
          </w14:textFill>
        </w:rPr>
        <w:t>模型推导：</w:t>
      </w:r>
    </w:p>
    <w:p>
      <w:pPr>
        <w:rPr>
          <w:rFonts w:hint="eastAsia" w:ascii="Arial" w:hAnsi="Arial" w:eastAsia="宋体" w:cs="Arial"/>
          <w:b/>
          <w:bCs/>
          <w:i w:val="0"/>
          <w:caps w:val="0"/>
          <w:color w:val="000000" w:themeColor="text1"/>
          <w:spacing w:val="0"/>
          <w:sz w:val="28"/>
          <w:szCs w:val="28"/>
          <w:shd w:val="clear" w:fill="F7F8FA"/>
          <w:lang w:val="en-US" w:eastAsia="zh-CN"/>
          <w14:textFill>
            <w14:solidFill>
              <w14:schemeClr w14:val="tx1"/>
            </w14:solidFill>
          </w14:textFill>
        </w:rPr>
      </w:pPr>
      <w:r>
        <w:rPr>
          <w:rFonts w:hint="eastAsia" w:ascii="Arial" w:hAnsi="Arial" w:eastAsia="宋体" w:cs="Arial"/>
          <w:b/>
          <w:bCs/>
          <w:i w:val="0"/>
          <w:caps w:val="0"/>
          <w:color w:val="000000" w:themeColor="text1"/>
          <w:spacing w:val="0"/>
          <w:sz w:val="28"/>
          <w:szCs w:val="28"/>
          <w:shd w:val="clear" w:fill="F7F8FA"/>
          <w:lang w:val="en-US" w:eastAsia="zh-CN"/>
          <w14:textFill>
            <w14:solidFill>
              <w14:schemeClr w14:val="tx1"/>
            </w14:solidFill>
          </w14:textFill>
        </w:rPr>
        <w:drawing>
          <wp:inline distT="0" distB="0" distL="114300" distR="114300">
            <wp:extent cx="5270500" cy="3406775"/>
            <wp:effectExtent l="0" t="0" r="0" b="9525"/>
            <wp:docPr id="3" name="图片 3" descr="0AK7Q)GH]4Y{S8X6XJWI9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AK7Q)GH]4Y{S8X6XJWI9ZI"/>
                    <pic:cNvPicPr>
                      <a:picLocks noChangeAspect="1"/>
                    </pic:cNvPicPr>
                  </pic:nvPicPr>
                  <pic:blipFill>
                    <a:blip r:embed="rId4"/>
                    <a:stretch>
                      <a:fillRect/>
                    </a:stretch>
                  </pic:blipFill>
                  <pic:spPr>
                    <a:xfrm>
                      <a:off x="0" y="0"/>
                      <a:ext cx="5270500" cy="3406775"/>
                    </a:xfrm>
                    <a:prstGeom prst="rect">
                      <a:avLst/>
                    </a:prstGeom>
                  </pic:spPr>
                </pic:pic>
              </a:graphicData>
            </a:graphic>
          </wp:inline>
        </w:drawing>
      </w:r>
    </w:p>
    <w:p>
      <w:pPr>
        <w:rPr>
          <w:rFonts w:hint="default" w:ascii="Arial" w:hAnsi="Arial" w:eastAsia="宋体" w:cs="Arial"/>
          <w:b/>
          <w:bCs/>
          <w:i w:val="0"/>
          <w:caps w:val="0"/>
          <w:color w:val="000000" w:themeColor="text1"/>
          <w:spacing w:val="0"/>
          <w:sz w:val="28"/>
          <w:szCs w:val="28"/>
          <w:shd w:val="clear" w:fill="F7F8FA"/>
          <w:lang w:val="en-US" w:eastAsia="zh-CN"/>
          <w14:textFill>
            <w14:solidFill>
              <w14:schemeClr w14:val="tx1"/>
            </w14:solidFill>
          </w14:textFill>
        </w:rPr>
      </w:pPr>
      <w:r>
        <w:rPr>
          <w:rFonts w:hint="eastAsia" w:ascii="Arial" w:hAnsi="Arial" w:eastAsia="宋体" w:cs="Arial"/>
          <w:b/>
          <w:bCs/>
          <w:i w:val="0"/>
          <w:color w:val="000000" w:themeColor="text1"/>
          <w:spacing w:val="0"/>
          <w:sz w:val="28"/>
          <w:szCs w:val="28"/>
          <w:shd w:val="clear" w:fill="F7F8FA"/>
          <w:lang w:val="en-US" w:eastAsia="zh-CN"/>
          <w14:textFill>
            <w14:solidFill>
              <w14:schemeClr w14:val="tx1"/>
            </w14:solidFill>
          </w14:textFill>
        </w:rPr>
        <w:t>F</w:t>
      </w:r>
      <w:r>
        <w:rPr>
          <w:rFonts w:hint="eastAsia" w:ascii="Arial" w:hAnsi="Arial" w:eastAsia="宋体" w:cs="Arial"/>
          <w:b/>
          <w:bCs/>
          <w:i w:val="0"/>
          <w:caps w:val="0"/>
          <w:color w:val="000000" w:themeColor="text1"/>
          <w:spacing w:val="0"/>
          <w:sz w:val="28"/>
          <w:szCs w:val="28"/>
          <w:shd w:val="clear" w:fill="F7F8FA"/>
          <w:lang w:val="en-US" w:eastAsia="zh-CN"/>
          <w14:textFill>
            <w14:solidFill>
              <w14:schemeClr w14:val="tx1"/>
            </w14:solidFill>
          </w14:textFill>
        </w:rPr>
        <w:t>inal regression model：</w:t>
      </w:r>
    </w:p>
    <w:p>
      <w:pPr>
        <w:rPr>
          <w:rFonts w:hint="default" w:ascii="Arial" w:hAnsi="Arial" w:eastAsia="宋体" w:cs="Arial"/>
          <w:b/>
          <w:bCs/>
          <w:i w:val="0"/>
          <w:caps w:val="0"/>
          <w:color w:val="333333"/>
          <w:spacing w:val="0"/>
          <w:sz w:val="24"/>
          <w:szCs w:val="24"/>
          <w:shd w:val="clear" w:fill="F7F8FA"/>
          <w:lang w:val="en-US" w:eastAsia="zh-CN"/>
        </w:rPr>
      </w:pPr>
      <w:r>
        <w:rPr>
          <w:rFonts w:hint="default" w:ascii="Arial" w:hAnsi="Arial" w:eastAsia="宋体" w:cs="Arial"/>
          <w:b/>
          <w:bCs/>
          <w:i w:val="0"/>
          <w:caps w:val="0"/>
          <w:color w:val="333333"/>
          <w:spacing w:val="0"/>
          <w:sz w:val="24"/>
          <w:szCs w:val="24"/>
          <w:shd w:val="clear" w:fill="F7F8FA"/>
          <w:lang w:val="en-US" w:eastAsia="zh-CN"/>
        </w:rPr>
        <w:drawing>
          <wp:inline distT="0" distB="0" distL="114300" distR="114300">
            <wp:extent cx="5269230" cy="1296670"/>
            <wp:effectExtent l="0" t="0" r="1270" b="11430"/>
            <wp:docPr id="2" name="图片 2" descr="0Y1WMLE]RI}AWW@_~A9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Y1WMLE]RI}AWW@_~A9A[]1"/>
                    <pic:cNvPicPr>
                      <a:picLocks noChangeAspect="1"/>
                    </pic:cNvPicPr>
                  </pic:nvPicPr>
                  <pic:blipFill>
                    <a:blip r:embed="rId5"/>
                    <a:stretch>
                      <a:fillRect/>
                    </a:stretch>
                  </pic:blipFill>
                  <pic:spPr>
                    <a:xfrm>
                      <a:off x="0" y="0"/>
                      <a:ext cx="5269230" cy="1296670"/>
                    </a:xfrm>
                    <a:prstGeom prst="rect">
                      <a:avLst/>
                    </a:prstGeom>
                  </pic:spPr>
                </pic:pic>
              </a:graphicData>
            </a:graphic>
          </wp:inline>
        </w:drawing>
      </w:r>
    </w:p>
    <w:p>
      <w:pPr>
        <w:rPr>
          <w:rFonts w:hint="eastAsia" w:ascii="Arial" w:hAnsi="Arial" w:eastAsia="宋体" w:cs="Arial"/>
          <w:b/>
          <w:bCs/>
          <w:i w:val="0"/>
          <w:caps w:val="0"/>
          <w:color w:val="333333"/>
          <w:spacing w:val="0"/>
          <w:sz w:val="32"/>
          <w:szCs w:val="32"/>
          <w:shd w:val="clear" w:fill="F7F8FA"/>
          <w:lang w:val="en-US" w:eastAsia="zh-CN"/>
        </w:rPr>
      </w:pPr>
      <w:r>
        <w:rPr>
          <w:rFonts w:hint="eastAsia" w:ascii="Arial" w:hAnsi="Arial" w:eastAsia="宋体" w:cs="Arial"/>
          <w:b/>
          <w:bCs/>
          <w:i w:val="0"/>
          <w:caps w:val="0"/>
          <w:color w:val="333333"/>
          <w:spacing w:val="0"/>
          <w:sz w:val="32"/>
          <w:szCs w:val="32"/>
          <w:shd w:val="clear" w:fill="F7F8FA"/>
          <w:lang w:val="en-US" w:eastAsia="zh-CN"/>
        </w:rPr>
        <w:t>实证结果：</w:t>
      </w:r>
    </w:p>
    <w:p>
      <w:pPr>
        <w:rPr>
          <w:rFonts w:hint="default" w:ascii="Arial" w:hAnsi="Arial" w:eastAsia="宋体" w:cs="Arial"/>
          <w:b w:val="0"/>
          <w:bCs w:val="0"/>
          <w:i w:val="0"/>
          <w:caps w:val="0"/>
          <w:color w:val="333333"/>
          <w:spacing w:val="0"/>
          <w:sz w:val="24"/>
          <w:szCs w:val="24"/>
          <w:shd w:val="clear" w:fill="F7F8FA"/>
          <w:lang w:val="en-US" w:eastAsia="zh-CN"/>
        </w:rPr>
      </w:pPr>
      <w:r>
        <w:rPr>
          <w:rFonts w:hint="default" w:ascii="Arial" w:hAnsi="Arial" w:eastAsia="宋体" w:cs="Arial"/>
          <w:b w:val="0"/>
          <w:bCs w:val="0"/>
          <w:i w:val="0"/>
          <w:caps w:val="0"/>
          <w:color w:val="333333"/>
          <w:spacing w:val="0"/>
          <w:sz w:val="24"/>
          <w:szCs w:val="24"/>
          <w:shd w:val="clear" w:fill="F7F8FA"/>
          <w:lang w:val="en-US" w:eastAsia="zh-CN"/>
        </w:rPr>
        <w:drawing>
          <wp:inline distT="0" distB="0" distL="114300" distR="114300">
            <wp:extent cx="5419725" cy="1193800"/>
            <wp:effectExtent l="0" t="0" r="3175" b="0"/>
            <wp:docPr id="1" name="图片 1" descr="~9OB0ZD6A0C0ML2[)B{9_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OB0ZD6A0C0ML2[)B{9_N7"/>
                    <pic:cNvPicPr>
                      <a:picLocks noChangeAspect="1"/>
                    </pic:cNvPicPr>
                  </pic:nvPicPr>
                  <pic:blipFill>
                    <a:blip r:embed="rId6"/>
                    <a:srcRect b="5051"/>
                    <a:stretch>
                      <a:fillRect/>
                    </a:stretch>
                  </pic:blipFill>
                  <pic:spPr>
                    <a:xfrm>
                      <a:off x="0" y="0"/>
                      <a:ext cx="5419725" cy="1193800"/>
                    </a:xfrm>
                    <a:prstGeom prst="rect">
                      <a:avLst/>
                    </a:prstGeom>
                  </pic:spPr>
                </pic:pic>
              </a:graphicData>
            </a:graphic>
          </wp:inline>
        </w:drawing>
      </w:r>
    </w:p>
    <w:p>
      <w:pPr>
        <w:rPr>
          <w:rFonts w:hint="default" w:ascii="Arial" w:hAnsi="Arial" w:eastAsia="宋体" w:cs="Arial"/>
          <w:b w:val="0"/>
          <w:bCs w:val="0"/>
          <w:i w:val="0"/>
          <w:caps w:val="0"/>
          <w:color w:val="333333"/>
          <w:spacing w:val="0"/>
          <w:sz w:val="24"/>
          <w:szCs w:val="24"/>
          <w:shd w:val="clear" w:fill="F7F8FA"/>
          <w:lang w:val="en-US" w:eastAsia="zh-CN"/>
        </w:rPr>
      </w:pPr>
    </w:p>
    <w:p>
      <w:pPr>
        <w:rPr>
          <w:rFonts w:hint="default" w:ascii="Arial" w:hAnsi="Arial" w:eastAsia="宋体" w:cs="Arial"/>
          <w:b w:val="0"/>
          <w:bCs w:val="0"/>
          <w:i w:val="0"/>
          <w:caps w:val="0"/>
          <w:color w:val="333333"/>
          <w:spacing w:val="0"/>
          <w:sz w:val="24"/>
          <w:szCs w:val="24"/>
          <w:shd w:val="clear" w:fill="F7F8FA"/>
          <w:lang w:val="en-US" w:eastAsia="zh-CN"/>
        </w:rPr>
      </w:pPr>
      <w:r>
        <w:rPr>
          <w:rFonts w:hint="eastAsia" w:ascii="Arial" w:hAnsi="Arial" w:eastAsia="宋体" w:cs="Arial"/>
          <w:b w:val="0"/>
          <w:bCs w:val="0"/>
          <w:i w:val="0"/>
          <w:caps w:val="0"/>
          <w:color w:val="333333"/>
          <w:spacing w:val="0"/>
          <w:sz w:val="24"/>
          <w:szCs w:val="24"/>
          <w:shd w:val="clear" w:fill="F7F8FA"/>
          <w:lang w:val="en-US" w:eastAsia="zh-CN"/>
        </w:rPr>
        <w:t>1.</w:t>
      </w:r>
      <w:r>
        <w:rPr>
          <w:rFonts w:hint="default" w:ascii="Arial" w:hAnsi="Arial" w:eastAsia="宋体" w:cs="Arial"/>
          <w:b w:val="0"/>
          <w:bCs w:val="0"/>
          <w:i w:val="0"/>
          <w:caps w:val="0"/>
          <w:color w:val="333333"/>
          <w:spacing w:val="0"/>
          <w:sz w:val="24"/>
          <w:szCs w:val="24"/>
          <w:shd w:val="clear" w:fill="F7F8FA"/>
          <w:lang w:val="en-US" w:eastAsia="zh-CN"/>
        </w:rPr>
        <w:t>实因子F1t的绝对值系数最大，这意味着它是我们所形成的线性组合中唯一最重要的因子。</w:t>
      </w:r>
    </w:p>
    <w:p>
      <w:pPr>
        <w:rPr>
          <w:rFonts w:hint="eastAsia" w:ascii="Arial" w:hAnsi="Arial" w:eastAsia="宋体" w:cs="Arial"/>
          <w:b w:val="0"/>
          <w:bCs w:val="0"/>
          <w:i w:val="0"/>
          <w:caps w:val="0"/>
          <w:color w:val="333333"/>
          <w:spacing w:val="0"/>
          <w:sz w:val="24"/>
          <w:szCs w:val="24"/>
          <w:shd w:val="clear" w:fill="F7F8FA"/>
          <w:lang w:val="en-US" w:eastAsia="zh-CN"/>
        </w:rPr>
      </w:pPr>
    </w:p>
    <w:p>
      <w:pPr>
        <w:rPr>
          <w:rFonts w:hint="default" w:ascii="Arial" w:hAnsi="Arial" w:eastAsia="宋体" w:cs="Arial"/>
          <w:b w:val="0"/>
          <w:bCs w:val="0"/>
          <w:i w:val="0"/>
          <w:caps w:val="0"/>
          <w:color w:val="333333"/>
          <w:spacing w:val="0"/>
          <w:sz w:val="24"/>
          <w:szCs w:val="24"/>
          <w:shd w:val="clear" w:fill="F7F8FA"/>
          <w:lang w:val="en-US" w:eastAsia="zh-CN"/>
        </w:rPr>
      </w:pPr>
      <w:r>
        <w:rPr>
          <w:rFonts w:hint="eastAsia" w:ascii="Arial" w:hAnsi="Arial" w:eastAsia="宋体" w:cs="Arial"/>
          <w:b w:val="0"/>
          <w:bCs w:val="0"/>
          <w:i w:val="0"/>
          <w:caps w:val="0"/>
          <w:color w:val="333333"/>
          <w:spacing w:val="0"/>
          <w:sz w:val="24"/>
          <w:szCs w:val="24"/>
          <w:shd w:val="clear" w:fill="F7F8FA"/>
          <w:lang w:val="en-US" w:eastAsia="zh-CN"/>
        </w:rPr>
        <w:t>2.</w:t>
      </w:r>
      <w:r>
        <w:rPr>
          <w:rFonts w:hint="default" w:ascii="Arial" w:hAnsi="Arial" w:eastAsia="宋体" w:cs="Arial"/>
          <w:b w:val="0"/>
          <w:bCs w:val="0"/>
          <w:i w:val="0"/>
          <w:caps w:val="0"/>
          <w:color w:val="333333"/>
          <w:spacing w:val="0"/>
          <w:sz w:val="24"/>
          <w:szCs w:val="24"/>
          <w:shd w:val="clear" w:fill="F7F8FA"/>
          <w:lang w:val="en-US" w:eastAsia="zh-CN"/>
        </w:rPr>
        <w:t>利率因素F2t是第二重要的，</w:t>
      </w:r>
    </w:p>
    <w:p>
      <w:pPr>
        <w:rPr>
          <w:rFonts w:hint="eastAsia" w:ascii="Arial" w:hAnsi="Arial" w:eastAsia="宋体" w:cs="Arial"/>
          <w:b w:val="0"/>
          <w:bCs w:val="0"/>
          <w:i w:val="0"/>
          <w:caps w:val="0"/>
          <w:color w:val="333333"/>
          <w:spacing w:val="0"/>
          <w:sz w:val="24"/>
          <w:szCs w:val="24"/>
          <w:shd w:val="clear" w:fill="F7F8FA"/>
          <w:lang w:val="en-US" w:eastAsia="zh-CN"/>
        </w:rPr>
      </w:pPr>
    </w:p>
    <w:p>
      <w:pPr>
        <w:rPr>
          <w:rFonts w:hint="default" w:ascii="Arial" w:hAnsi="Arial" w:eastAsia="宋体" w:cs="Arial"/>
          <w:b w:val="0"/>
          <w:bCs w:val="0"/>
          <w:i w:val="0"/>
          <w:caps w:val="0"/>
          <w:color w:val="333333"/>
          <w:spacing w:val="0"/>
          <w:sz w:val="24"/>
          <w:szCs w:val="24"/>
          <w:shd w:val="clear" w:fill="F7F8FA"/>
          <w:lang w:val="en-US" w:eastAsia="zh-CN"/>
        </w:rPr>
      </w:pPr>
      <w:r>
        <w:rPr>
          <w:rFonts w:hint="eastAsia" w:ascii="Arial" w:hAnsi="Arial" w:eastAsia="宋体" w:cs="Arial"/>
          <w:b w:val="0"/>
          <w:bCs w:val="0"/>
          <w:i w:val="0"/>
          <w:caps w:val="0"/>
          <w:color w:val="333333"/>
          <w:spacing w:val="0"/>
          <w:sz w:val="24"/>
          <w:szCs w:val="24"/>
          <w:shd w:val="clear" w:fill="F7F8FA"/>
          <w:lang w:val="en-US" w:eastAsia="zh-CN"/>
        </w:rPr>
        <w:t>3.</w:t>
      </w:r>
      <w:r>
        <w:rPr>
          <w:rFonts w:hint="default" w:ascii="Arial" w:hAnsi="Arial" w:eastAsia="宋体" w:cs="Arial"/>
          <w:b w:val="0"/>
          <w:bCs w:val="0"/>
          <w:i w:val="0"/>
          <w:caps w:val="0"/>
          <w:color w:val="333333"/>
          <w:spacing w:val="0"/>
          <w:sz w:val="24"/>
          <w:szCs w:val="24"/>
          <w:shd w:val="clear" w:fill="F7F8FA"/>
          <w:lang w:val="en-US" w:eastAsia="zh-CN"/>
        </w:rPr>
        <w:t>股票市场因素F8t是第三重要的。</w:t>
      </w:r>
    </w:p>
    <w:p>
      <w:pPr>
        <w:rPr>
          <w:rFonts w:hint="eastAsia" w:ascii="Arial" w:hAnsi="Arial" w:eastAsia="宋体" w:cs="Arial"/>
          <w:b w:val="0"/>
          <w:bCs w:val="0"/>
          <w:i w:val="0"/>
          <w:caps w:val="0"/>
          <w:color w:val="333333"/>
          <w:spacing w:val="0"/>
          <w:sz w:val="24"/>
          <w:szCs w:val="24"/>
          <w:shd w:val="clear" w:fill="F7F8FA"/>
          <w:lang w:val="en-US" w:eastAsia="zh-CN"/>
        </w:rPr>
      </w:pPr>
    </w:p>
    <w:p>
      <w:pPr>
        <w:rPr>
          <w:rFonts w:hint="default" w:ascii="Arial" w:hAnsi="Arial" w:eastAsia="宋体" w:cs="Arial"/>
          <w:b w:val="0"/>
          <w:bCs w:val="0"/>
          <w:i w:val="0"/>
          <w:caps w:val="0"/>
          <w:color w:val="333333"/>
          <w:spacing w:val="0"/>
          <w:sz w:val="24"/>
          <w:szCs w:val="24"/>
          <w:shd w:val="clear" w:fill="F7F8FA"/>
          <w:lang w:val="en-US" w:eastAsia="zh-CN"/>
        </w:rPr>
      </w:pPr>
      <w:r>
        <w:rPr>
          <w:rFonts w:hint="eastAsia" w:ascii="Arial" w:hAnsi="Arial" w:eastAsia="宋体" w:cs="Arial"/>
          <w:b w:val="0"/>
          <w:bCs w:val="0"/>
          <w:i w:val="0"/>
          <w:caps w:val="0"/>
          <w:color w:val="333333"/>
          <w:spacing w:val="0"/>
          <w:sz w:val="24"/>
          <w:szCs w:val="24"/>
          <w:shd w:val="clear" w:fill="F7F8FA"/>
          <w:lang w:val="en-US" w:eastAsia="zh-CN"/>
        </w:rPr>
        <w:t>4.</w:t>
      </w:r>
      <w:r>
        <w:rPr>
          <w:rFonts w:hint="default" w:ascii="Arial" w:hAnsi="Arial" w:eastAsia="宋体" w:cs="Arial"/>
          <w:b w:val="0"/>
          <w:bCs w:val="0"/>
          <w:i w:val="0"/>
          <w:caps w:val="0"/>
          <w:color w:val="333333"/>
          <w:spacing w:val="0"/>
          <w:sz w:val="24"/>
          <w:szCs w:val="24"/>
          <w:shd w:val="clear" w:fill="F7F8FA"/>
          <w:lang w:val="en-US" w:eastAsia="zh-CN"/>
        </w:rPr>
        <w:t>膨胀因子F3t和F4t的重要性相对较低，但在实际因子中仍大于立方。(在这些回归中，F3t并不显著，因为在预测3年、4年和5年的超额债券回报时，仅将一些因素作为预测因素，F3t的系数是不精确的。尽管如此，该变量仍然是未来债券回报的重要预测因子，因为一旦CPt被纳入作为一个额外的回归变量，它就具有很强的统计意义。)</w:t>
      </w:r>
    </w:p>
    <w:p>
      <w:pPr>
        <w:rPr>
          <w:rFonts w:hint="eastAsia" w:ascii="Arial" w:hAnsi="Arial" w:eastAsia="宋体" w:cs="Arial"/>
          <w:b w:val="0"/>
          <w:bCs w:val="0"/>
          <w:i w:val="0"/>
          <w:caps w:val="0"/>
          <w:color w:val="333333"/>
          <w:spacing w:val="0"/>
          <w:sz w:val="24"/>
          <w:szCs w:val="24"/>
          <w:shd w:val="clear" w:fill="F7F8FA"/>
          <w:lang w:val="en-US" w:eastAsia="zh-CN"/>
        </w:rPr>
      </w:pPr>
    </w:p>
    <w:p>
      <w:pPr>
        <w:rPr>
          <w:rFonts w:hint="default" w:ascii="Arial" w:hAnsi="Arial" w:eastAsia="宋体" w:cs="Arial"/>
          <w:b w:val="0"/>
          <w:bCs w:val="0"/>
          <w:i w:val="0"/>
          <w:caps w:val="0"/>
          <w:color w:val="333333"/>
          <w:spacing w:val="0"/>
          <w:sz w:val="24"/>
          <w:szCs w:val="24"/>
          <w:shd w:val="clear" w:fill="F7F8FA"/>
          <w:lang w:val="en-US" w:eastAsia="zh-CN"/>
        </w:rPr>
      </w:pPr>
      <w:r>
        <w:rPr>
          <w:rFonts w:hint="eastAsia" w:ascii="Arial" w:hAnsi="Arial" w:eastAsia="宋体" w:cs="Arial"/>
          <w:b w:val="0"/>
          <w:bCs w:val="0"/>
          <w:i w:val="0"/>
          <w:caps w:val="0"/>
          <w:color w:val="333333"/>
          <w:spacing w:val="0"/>
          <w:sz w:val="24"/>
          <w:szCs w:val="24"/>
          <w:shd w:val="clear" w:fill="F7F8FA"/>
          <w:lang w:val="en-US" w:eastAsia="zh-CN"/>
        </w:rPr>
        <w:t>5.</w:t>
      </w:r>
      <w:r>
        <w:rPr>
          <w:rFonts w:hint="default" w:ascii="Arial" w:hAnsi="Arial" w:eastAsia="宋体" w:cs="Arial"/>
          <w:b w:val="0"/>
          <w:bCs w:val="0"/>
          <w:i w:val="0"/>
          <w:caps w:val="0"/>
          <w:color w:val="333333"/>
          <w:spacing w:val="0"/>
          <w:sz w:val="24"/>
          <w:szCs w:val="24"/>
          <w:shd w:val="clear" w:fill="F7F8FA"/>
          <w:lang w:val="en-US" w:eastAsia="zh-CN"/>
        </w:rPr>
        <w:t>同样值得注意的是，F1t和F13t占了上述调整后r平方统计量的一半</w:t>
      </w:r>
    </w:p>
    <w:p>
      <w:pPr>
        <w:rPr>
          <w:rFonts w:hint="default" w:ascii="Arial" w:hAnsi="Arial" w:eastAsia="宋体" w:cs="Arial"/>
          <w:b w:val="0"/>
          <w:i w:val="0"/>
          <w:caps w:val="0"/>
          <w:color w:val="333333"/>
          <w:spacing w:val="0"/>
          <w:sz w:val="22"/>
          <w:szCs w:val="22"/>
          <w:shd w:val="clear" w:fill="F7F8FA"/>
        </w:rPr>
      </w:pPr>
      <w:r>
        <w:rPr>
          <w:rFonts w:hint="eastAsia" w:ascii="Arial" w:hAnsi="Arial" w:eastAsia="宋体" w:cs="Arial"/>
          <w:b w:val="0"/>
          <w:i w:val="0"/>
          <w:caps w:val="0"/>
          <w:color w:val="333333"/>
          <w:spacing w:val="0"/>
          <w:sz w:val="22"/>
          <w:szCs w:val="22"/>
          <w:shd w:val="clear" w:fill="F7F8FA"/>
          <w:lang w:eastAsia="zh-CN"/>
        </w:rPr>
        <w:t>（</w:t>
      </w:r>
      <w:r>
        <w:rPr>
          <w:rFonts w:ascii="Arial" w:hAnsi="Arial" w:eastAsia="宋体" w:cs="Arial"/>
          <w:b w:val="0"/>
          <w:i w:val="0"/>
          <w:caps w:val="0"/>
          <w:color w:val="333333"/>
          <w:spacing w:val="0"/>
          <w:sz w:val="22"/>
          <w:szCs w:val="22"/>
          <w:shd w:val="clear" w:fill="F7F8FA"/>
        </w:rPr>
        <w:t>这些因素解释了未来一年债券超额回报的</w:t>
      </w:r>
      <w:r>
        <w:rPr>
          <w:rFonts w:ascii="Arial" w:hAnsi="Arial" w:eastAsia="宋体" w:cs="Arial"/>
          <w:b/>
          <w:bCs/>
          <w:i w:val="0"/>
          <w:caps w:val="0"/>
          <w:color w:val="FF0000"/>
          <w:spacing w:val="0"/>
          <w:sz w:val="22"/>
          <w:szCs w:val="22"/>
          <w:shd w:val="clear" w:fill="F7F8FA"/>
        </w:rPr>
        <w:t>21%到26%</w:t>
      </w:r>
      <w:r>
        <w:rPr>
          <w:rFonts w:ascii="Arial" w:hAnsi="Arial" w:eastAsia="宋体" w:cs="Arial"/>
          <w:b w:val="0"/>
          <w:i w:val="0"/>
          <w:caps w:val="0"/>
          <w:color w:val="333333"/>
          <w:spacing w:val="0"/>
          <w:sz w:val="22"/>
          <w:szCs w:val="22"/>
          <w:shd w:val="clear" w:fill="F7F8FA"/>
        </w:rPr>
        <w:t>。</w:t>
      </w:r>
      <w:r>
        <w:rPr>
          <w:rFonts w:hint="default" w:ascii="Arial" w:hAnsi="Arial" w:eastAsia="宋体" w:cs="Arial"/>
          <w:b w:val="0"/>
          <w:i w:val="0"/>
          <w:caps w:val="0"/>
          <w:color w:val="333333"/>
          <w:spacing w:val="0"/>
          <w:sz w:val="22"/>
          <w:szCs w:val="22"/>
          <w:shd w:val="clear" w:fill="F7F8FA"/>
        </w:rPr>
        <w:t>这些因素也表现出稳定且在统计上显著的对未来收益的</w:t>
      </w:r>
      <w:r>
        <w:rPr>
          <w:rFonts w:hint="default" w:ascii="Arial" w:hAnsi="Arial" w:eastAsia="宋体" w:cs="Arial"/>
          <w:b/>
          <w:bCs/>
          <w:i w:val="0"/>
          <w:caps w:val="0"/>
          <w:color w:val="333333"/>
          <w:spacing w:val="0"/>
          <w:sz w:val="22"/>
          <w:szCs w:val="22"/>
          <w:shd w:val="clear" w:fill="F7F8FA"/>
        </w:rPr>
        <w:t>样本外预测能力</w:t>
      </w:r>
      <w:r>
        <w:rPr>
          <w:rFonts w:hint="eastAsia" w:ascii="Arial" w:hAnsi="Arial" w:eastAsia="宋体" w:cs="Arial"/>
          <w:b/>
          <w:bCs/>
          <w:i w:val="0"/>
          <w:caps w:val="0"/>
          <w:color w:val="333333"/>
          <w:spacing w:val="0"/>
          <w:sz w:val="22"/>
          <w:szCs w:val="22"/>
          <w:shd w:val="clear" w:fill="F7F8FA"/>
          <w:lang w:eastAsia="zh-CN"/>
        </w:rPr>
        <w:t>）</w:t>
      </w:r>
      <w:r>
        <w:rPr>
          <w:rFonts w:hint="default" w:ascii="Arial" w:hAnsi="Arial" w:eastAsia="宋体" w:cs="Arial"/>
          <w:b w:val="0"/>
          <w:i w:val="0"/>
          <w:caps w:val="0"/>
          <w:color w:val="333333"/>
          <w:spacing w:val="0"/>
          <w:sz w:val="22"/>
          <w:szCs w:val="22"/>
          <w:shd w:val="clear" w:fill="F7F8FA"/>
        </w:rPr>
        <w:t>。</w:t>
      </w:r>
    </w:p>
    <w:p>
      <w:pPr>
        <w:rPr>
          <w:rFonts w:hint="default" w:ascii="Arial" w:hAnsi="Arial" w:eastAsia="宋体" w:cs="Arial"/>
          <w:b w:val="0"/>
          <w:bCs w:val="0"/>
          <w:i w:val="0"/>
          <w:caps w:val="0"/>
          <w:color w:val="333333"/>
          <w:spacing w:val="0"/>
          <w:sz w:val="24"/>
          <w:szCs w:val="24"/>
          <w:shd w:val="clear" w:fill="F7F8FA"/>
          <w:lang w:val="en-US" w:eastAsia="zh-CN"/>
        </w:rPr>
      </w:pPr>
    </w:p>
    <w:p>
      <w:pPr>
        <w:ind w:firstLine="663" w:firstLineChars="300"/>
        <w:rPr>
          <w:rFonts w:hint="default" w:ascii="Arial" w:hAnsi="Arial" w:eastAsia="宋体" w:cs="Arial"/>
          <w:b w:val="0"/>
          <w:i w:val="0"/>
          <w:caps w:val="0"/>
          <w:color w:val="333333"/>
          <w:spacing w:val="0"/>
          <w:sz w:val="22"/>
          <w:szCs w:val="22"/>
          <w:shd w:val="clear" w:fill="F7F8FA"/>
        </w:rPr>
      </w:pPr>
      <w:r>
        <w:rPr>
          <w:rFonts w:hint="default" w:ascii="Arial" w:hAnsi="Arial" w:eastAsia="宋体" w:cs="Arial"/>
          <w:b/>
          <w:bCs/>
          <w:i w:val="0"/>
          <w:caps w:val="0"/>
          <w:color w:val="333333"/>
          <w:spacing w:val="0"/>
          <w:sz w:val="22"/>
          <w:szCs w:val="22"/>
          <w:shd w:val="clear" w:fill="F7F8FA"/>
        </w:rPr>
        <w:t>主要预测变量</w:t>
      </w:r>
      <w:r>
        <w:rPr>
          <w:rFonts w:hint="default" w:ascii="Arial" w:hAnsi="Arial" w:eastAsia="宋体" w:cs="Arial"/>
          <w:b w:val="0"/>
          <w:i w:val="0"/>
          <w:caps w:val="0"/>
          <w:color w:val="333333"/>
          <w:spacing w:val="0"/>
          <w:sz w:val="22"/>
          <w:szCs w:val="22"/>
          <w:shd w:val="clear" w:fill="F7F8FA"/>
        </w:rPr>
        <w:t>是基于实际活动的因素，这些因素与产出和就业指标高度相关，但两个通胀因素和一个股市因素也包含有关未来债券回报的信息。</w:t>
      </w:r>
    </w:p>
    <w:p>
      <w:pPr>
        <w:ind w:firstLine="660" w:firstLineChars="300"/>
        <w:rPr>
          <w:rFonts w:hint="default" w:ascii="Arial" w:hAnsi="Arial" w:eastAsia="宋体" w:cs="Arial"/>
          <w:b w:val="0"/>
          <w:bCs w:val="0"/>
          <w:i w:val="0"/>
          <w:caps w:val="0"/>
          <w:color w:val="333333"/>
          <w:spacing w:val="0"/>
          <w:sz w:val="48"/>
          <w:szCs w:val="48"/>
          <w:shd w:val="clear" w:fill="F7F8FA"/>
          <w:lang w:val="en-US" w:eastAsia="zh-CN"/>
        </w:rPr>
      </w:pPr>
      <w:r>
        <w:rPr>
          <w:rFonts w:hint="default" w:ascii="Arial" w:hAnsi="Arial" w:eastAsia="宋体" w:cs="Arial"/>
          <w:b w:val="0"/>
          <w:i w:val="0"/>
          <w:caps w:val="0"/>
          <w:color w:val="333333"/>
          <w:spacing w:val="0"/>
          <w:sz w:val="22"/>
          <w:szCs w:val="22"/>
          <w:shd w:val="clear" w:fill="F7F8FA"/>
        </w:rPr>
        <w:t>研究结果表明，投资者必须为与衰退相关的风险得到补偿。事实上，当宏观经济因素加上当前</w:t>
      </w:r>
      <w:bookmarkStart w:id="0" w:name="_GoBack"/>
      <w:bookmarkEnd w:id="0"/>
      <w:r>
        <w:rPr>
          <w:rFonts w:hint="default" w:ascii="Arial" w:hAnsi="Arial" w:eastAsia="宋体" w:cs="Arial"/>
          <w:b w:val="0"/>
          <w:i w:val="0"/>
          <w:caps w:val="0"/>
          <w:color w:val="333333"/>
          <w:spacing w:val="0"/>
          <w:sz w:val="22"/>
          <w:szCs w:val="22"/>
          <w:shd w:val="clear" w:fill="F7F8FA"/>
        </w:rPr>
        <w:t>债券市场数据中已经包含的信息时，风险溢价在衰退中被发现要高得多。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imes-Roman">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AB3DD9"/>
    <w:rsid w:val="63AB3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2020-11-28T15:26:00Z</dcterms:created>
  <dc:creator>Cheung</dc:creator>
  <cp:lastModifiedBy>Cheung</cp:lastModifiedBy>
  <dcterms:modified xsi:type="dcterms:W3CDTF">2020-11-28T16:32:57Z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