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951FA" w:rsidRPr="00BC3A63" w:rsidRDefault="00F951FA">
      <w:pPr>
        <w:rPr>
          <w:b/>
          <w:bCs/>
          <w:sz w:val="28"/>
          <w:szCs w:val="28"/>
        </w:rPr>
      </w:pPr>
      <w:r w:rsidRPr="00BC3A63">
        <w:rPr>
          <w:rFonts w:hint="eastAsia"/>
          <w:b/>
          <w:bCs/>
          <w:sz w:val="28"/>
          <w:szCs w:val="28"/>
        </w:rPr>
        <w:t>因子</w:t>
      </w:r>
      <w:r w:rsidR="00CE3349" w:rsidRPr="00BC3A63">
        <w:rPr>
          <w:b/>
          <w:bCs/>
          <w:sz w:val="28"/>
          <w:szCs w:val="28"/>
        </w:rPr>
        <w:t>1</w:t>
      </w:r>
      <w:r w:rsidRPr="00BC3A63">
        <w:rPr>
          <w:rFonts w:hint="eastAsia"/>
          <w:b/>
          <w:bCs/>
          <w:sz w:val="28"/>
          <w:szCs w:val="28"/>
        </w:rPr>
        <w:t>：</w:t>
      </w:r>
      <w:r w:rsidRPr="00BC3A63">
        <w:rPr>
          <w:b/>
          <w:bCs/>
          <w:sz w:val="28"/>
          <w:szCs w:val="28"/>
        </w:rPr>
        <w:t xml:space="preserve">Investor sentiment </w:t>
      </w:r>
      <w:r w:rsidR="00113D19" w:rsidRPr="00BC3A63">
        <w:rPr>
          <w:rFonts w:hint="eastAsia"/>
          <w:b/>
          <w:bCs/>
          <w:sz w:val="28"/>
          <w:szCs w:val="28"/>
        </w:rPr>
        <w:t>情绪因子</w:t>
      </w:r>
    </w:p>
    <w:p w:rsidR="00F951FA" w:rsidRDefault="00F951FA">
      <w:r>
        <w:rPr>
          <w:rFonts w:hint="eastAsia"/>
        </w:rPr>
        <w:t>数据来源：</w:t>
      </w:r>
      <w:proofErr w:type="spellStart"/>
      <w:r>
        <w:rPr>
          <w:rFonts w:hint="eastAsia"/>
        </w:rPr>
        <w:t>Wugler</w:t>
      </w:r>
      <w:r>
        <w:t>’s</w:t>
      </w:r>
      <w:proofErr w:type="spellEnd"/>
      <w:r>
        <w:t xml:space="preserve"> NYU </w:t>
      </w:r>
      <w:r>
        <w:rPr>
          <w:rFonts w:hint="eastAsia"/>
        </w:rPr>
        <w:t>针对债券市场需要调整，根据文献调整</w:t>
      </w:r>
      <w:r w:rsidR="00570F51">
        <w:rPr>
          <w:rFonts w:hint="eastAsia"/>
        </w:rPr>
        <w:t>（下面截图了公式（1</w:t>
      </w:r>
      <w:r w:rsidR="00570F51">
        <w:t>4</w:t>
      </w:r>
      <w:r w:rsidR="00570F51">
        <w:rPr>
          <w:rFonts w:hint="eastAsia"/>
        </w:rPr>
        <w:t>））</w:t>
      </w:r>
    </w:p>
    <w:p w:rsidR="00E95CFF" w:rsidRDefault="00E95CFF">
      <w:pPr>
        <w:rPr>
          <w:rFonts w:hint="eastAsia"/>
        </w:rPr>
      </w:pPr>
    </w:p>
    <w:p w:rsidR="00F951FA" w:rsidRDefault="00F951FA">
      <w:r>
        <w:rPr>
          <w:rFonts w:hint="eastAsia"/>
        </w:rPr>
        <w:t>文献：</w:t>
      </w:r>
      <w:proofErr w:type="spellStart"/>
      <w:r>
        <w:rPr>
          <w:rFonts w:hint="eastAsia"/>
        </w:rPr>
        <w:t>Laborda</w:t>
      </w:r>
      <w:proofErr w:type="spellEnd"/>
      <w:r>
        <w:t xml:space="preserve"> </w:t>
      </w:r>
      <w:r>
        <w:rPr>
          <w:rFonts w:hint="eastAsia"/>
        </w:rPr>
        <w:t>and</w:t>
      </w:r>
      <w:r>
        <w:t xml:space="preserve"> </w:t>
      </w:r>
      <w:proofErr w:type="spellStart"/>
      <w:r>
        <w:rPr>
          <w:rFonts w:hint="eastAsia"/>
        </w:rPr>
        <w:t>Olmo</w:t>
      </w:r>
      <w:proofErr w:type="spellEnd"/>
      <w:r>
        <w:rPr>
          <w:rFonts w:hint="eastAsia"/>
        </w:rPr>
        <w:t>（2</w:t>
      </w:r>
      <w:r>
        <w:t>014</w:t>
      </w:r>
      <w:r>
        <w:rPr>
          <w:rFonts w:hint="eastAsia"/>
        </w:rPr>
        <w:t>）</w:t>
      </w:r>
    </w:p>
    <w:p w:rsidR="00F951FA" w:rsidRDefault="00F951FA">
      <w:proofErr w:type="spellStart"/>
      <w:r>
        <w:t>Laborda</w:t>
      </w:r>
      <w:proofErr w:type="spellEnd"/>
      <w:r>
        <w:t xml:space="preserve">, R., </w:t>
      </w:r>
      <w:proofErr w:type="spellStart"/>
      <w:r>
        <w:t>Olmo</w:t>
      </w:r>
      <w:proofErr w:type="spellEnd"/>
      <w:r>
        <w:t xml:space="preserve">, J., 2014. Investment sentiment and bond risk premia. </w:t>
      </w:r>
      <w:r w:rsidRPr="00F951FA">
        <w:rPr>
          <w:i/>
          <w:iCs/>
        </w:rPr>
        <w:t>Journal of Financial Markets</w:t>
      </w:r>
      <w:r w:rsidRPr="00F951FA">
        <w:t xml:space="preserve"> 18, 206-233.</w:t>
      </w:r>
    </w:p>
    <w:p w:rsidR="001F18D5" w:rsidRDefault="001F18D5"/>
    <w:p w:rsidR="00541CD7" w:rsidRDefault="001F18D5">
      <w:pPr>
        <w:rPr>
          <w:rFonts w:hint="eastAsia"/>
        </w:rPr>
      </w:pPr>
      <w:r>
        <w:t>T</w:t>
      </w:r>
      <w:r>
        <w:rPr>
          <w:rFonts w:hint="eastAsia"/>
        </w:rPr>
        <w:t>heir</w:t>
      </w:r>
      <w:r>
        <w:t xml:space="preserve"> </w:t>
      </w:r>
      <w:r>
        <w:rPr>
          <w:rFonts w:hint="eastAsia"/>
        </w:rPr>
        <w:t>findings</w:t>
      </w:r>
      <w:r>
        <w:t xml:space="preserve"> </w:t>
      </w:r>
      <w:r>
        <w:rPr>
          <w:rFonts w:hint="eastAsia"/>
        </w:rPr>
        <w:t>reveal</w:t>
      </w:r>
      <w:r>
        <w:t xml:space="preserve"> </w:t>
      </w:r>
      <w:r>
        <w:rPr>
          <w:rFonts w:hint="eastAsia"/>
        </w:rPr>
        <w:t>that</w:t>
      </w:r>
      <w:r>
        <w:t xml:space="preserve"> </w:t>
      </w:r>
      <w:r>
        <w:rPr>
          <w:rFonts w:hint="eastAsia"/>
        </w:rPr>
        <w:t>this</w:t>
      </w:r>
      <w:r>
        <w:t xml:space="preserve"> </w:t>
      </w:r>
      <w:r>
        <w:rPr>
          <w:rFonts w:hint="eastAsia"/>
        </w:rPr>
        <w:t>factor</w:t>
      </w:r>
      <w:r>
        <w:t xml:space="preserve"> </w:t>
      </w:r>
      <w:r>
        <w:rPr>
          <w:rFonts w:hint="eastAsia"/>
        </w:rPr>
        <w:t>has</w:t>
      </w:r>
      <w:r>
        <w:t xml:space="preserve"> </w:t>
      </w:r>
      <w:r>
        <w:rPr>
          <w:rFonts w:hint="eastAsia"/>
        </w:rPr>
        <w:t>predictive</w:t>
      </w:r>
      <w:r>
        <w:t xml:space="preserve"> </w:t>
      </w:r>
      <w:r>
        <w:rPr>
          <w:rFonts w:hint="eastAsia"/>
        </w:rPr>
        <w:t>power</w:t>
      </w:r>
      <w:r>
        <w:t xml:space="preserve"> </w:t>
      </w:r>
      <w:r>
        <w:rPr>
          <w:rFonts w:hint="eastAsia"/>
        </w:rPr>
        <w:t>beyond</w:t>
      </w:r>
      <w:r>
        <w:t xml:space="preserve"> that </w:t>
      </w:r>
      <w:r>
        <w:rPr>
          <w:rFonts w:hint="eastAsia"/>
        </w:rPr>
        <w:t>contained in</w:t>
      </w:r>
      <w:r>
        <w:t xml:space="preserve"> the yield curve and benchmark macroeconomic factors.</w:t>
      </w:r>
      <w:r w:rsidR="00541CD7">
        <w:t xml:space="preserve"> The predictive power of this variable is time-varying, exhibiting more relevance during recession </w:t>
      </w:r>
      <w:proofErr w:type="gramStart"/>
      <w:r w:rsidR="00541CD7">
        <w:t>periods.</w:t>
      </w:r>
      <w:r w:rsidR="00EB4F0C">
        <w:rPr>
          <w:rFonts w:hint="eastAsia"/>
        </w:rPr>
        <w:t>（</w:t>
      </w:r>
      <w:proofErr w:type="gramEnd"/>
      <w:r w:rsidR="00937461">
        <w:rPr>
          <w:rFonts w:hint="eastAsia"/>
        </w:rPr>
        <w:t>取自</w:t>
      </w:r>
      <w:r w:rsidR="00EB4F0C">
        <w:rPr>
          <w:rFonts w:hint="eastAsia"/>
        </w:rPr>
        <w:t>文章摘要）</w:t>
      </w:r>
    </w:p>
    <w:p w:rsidR="00541CD7" w:rsidRDefault="00541CD7"/>
    <w:p w:rsidR="00B1527D" w:rsidRDefault="00B1527D">
      <w:r>
        <w:rPr>
          <w:rFonts w:hint="eastAsia"/>
        </w:rPr>
        <w:t>主要</w:t>
      </w:r>
      <w:r w:rsidR="0054391F">
        <w:rPr>
          <w:rFonts w:hint="eastAsia"/>
        </w:rPr>
        <w:t>贡献：Our</w:t>
      </w:r>
      <w:r w:rsidR="0054391F">
        <w:t xml:space="preserve"> </w:t>
      </w:r>
      <w:r w:rsidR="0054391F">
        <w:rPr>
          <w:rFonts w:hint="eastAsia"/>
        </w:rPr>
        <w:t>main</w:t>
      </w:r>
      <w:r w:rsidR="0054391F">
        <w:t xml:space="preserve"> </w:t>
      </w:r>
      <w:r w:rsidR="0054391F">
        <w:rPr>
          <w:rFonts w:hint="eastAsia"/>
        </w:rPr>
        <w:t>contribution</w:t>
      </w:r>
      <w:r w:rsidR="0054391F">
        <w:t xml:space="preserve"> </w:t>
      </w:r>
      <w:r w:rsidR="0054391F">
        <w:rPr>
          <w:rFonts w:hint="eastAsia"/>
        </w:rPr>
        <w:t>is</w:t>
      </w:r>
      <w:r w:rsidR="0054391F">
        <w:t xml:space="preserve"> </w:t>
      </w:r>
      <w:r w:rsidR="0054391F">
        <w:rPr>
          <w:rFonts w:hint="eastAsia"/>
        </w:rPr>
        <w:t>to</w:t>
      </w:r>
      <w:r w:rsidR="0054391F">
        <w:t xml:space="preserve"> document a positive </w:t>
      </w:r>
      <w:r w:rsidR="00937461">
        <w:t>relationship between investor sentiment variables and expected excess bond returns that is above and beyond the information contained in the term structure of bonds and macroeconomic factors.</w:t>
      </w:r>
    </w:p>
    <w:p w:rsidR="00937461" w:rsidRDefault="00937461"/>
    <w:p w:rsidR="00937461" w:rsidRDefault="00937461">
      <w:r>
        <w:rPr>
          <w:rFonts w:hint="eastAsia"/>
        </w:rPr>
        <w:t>计算方法：</w:t>
      </w:r>
    </w:p>
    <w:p w:rsidR="00B35E21" w:rsidRDefault="00570F51">
      <w:r>
        <w:rPr>
          <w:noProof/>
        </w:rPr>
        <w:drawing>
          <wp:inline distT="0" distB="0" distL="0" distR="0">
            <wp:extent cx="5270500" cy="217106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9F7" w:rsidRDefault="00570F51">
      <w:r>
        <w:rPr>
          <w:rFonts w:hint="eastAsia"/>
        </w:rPr>
        <w:t>（1</w:t>
      </w:r>
      <w:r>
        <w:t>4</w:t>
      </w:r>
      <w:r>
        <w:rPr>
          <w:rFonts w:hint="eastAsia"/>
        </w:rPr>
        <w:t>）是计算公式</w:t>
      </w:r>
    </w:p>
    <w:p w:rsidR="00570F51" w:rsidRDefault="007139F7">
      <w:pPr>
        <w:rPr>
          <w:rFonts w:hint="eastAsia"/>
        </w:rPr>
      </w:pPr>
      <w:r>
        <w:rPr>
          <w:rFonts w:hint="eastAsia"/>
        </w:rPr>
        <w:t xml:space="preserve"> （</w:t>
      </w:r>
      <w:r>
        <w:rPr>
          <w:rFonts w:hint="eastAsia"/>
          <w:noProof/>
        </w:rPr>
        <w:drawing>
          <wp:inline distT="0" distB="0" distL="0" distR="0">
            <wp:extent cx="571500" cy="5334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表示超额收益</w:t>
      </w:r>
    </w:p>
    <w:p w:rsidR="00570F51" w:rsidRDefault="00570F51">
      <w:r>
        <w:rPr>
          <w:rFonts w:hint="eastAsia"/>
          <w:noProof/>
        </w:rPr>
        <w:lastRenderedPageBreak/>
        <w:drawing>
          <wp:inline distT="0" distB="0" distL="0" distR="0">
            <wp:extent cx="368300" cy="292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sentiment</w:t>
      </w:r>
      <w:r>
        <w:t xml:space="preserve"> </w:t>
      </w:r>
      <w:r>
        <w:rPr>
          <w:rFonts w:hint="eastAsia"/>
        </w:rPr>
        <w:t>index</w:t>
      </w:r>
      <w:r>
        <w:t xml:space="preserve"> </w:t>
      </w:r>
      <w:r>
        <w:rPr>
          <w:rFonts w:hint="eastAsia"/>
        </w:rPr>
        <w:t>that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orthogonal（正交）to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sample</w:t>
      </w:r>
      <w:r>
        <w:t xml:space="preserve"> of</w:t>
      </w:r>
      <w:r>
        <w:rPr>
          <w:rFonts w:hint="eastAsia"/>
        </w:rPr>
        <w:t xml:space="preserve"> </w:t>
      </w:r>
      <w:r>
        <w:t>macroeconomic factors selected by Baker</w:t>
      </w:r>
      <w:r>
        <w:rPr>
          <w:rFonts w:hint="eastAsia"/>
        </w:rPr>
        <w:t xml:space="preserve"> </w:t>
      </w:r>
      <w:r>
        <w:t xml:space="preserve">and </w:t>
      </w:r>
      <w:proofErr w:type="spellStart"/>
      <w:r>
        <w:t>Wurgler</w:t>
      </w:r>
      <w:proofErr w:type="spellEnd"/>
      <w:r>
        <w:t xml:space="preserve">(2006) </w:t>
      </w:r>
    </w:p>
    <w:p w:rsidR="00570F51" w:rsidRDefault="007D04E4">
      <w:r>
        <w:rPr>
          <w:rFonts w:hint="eastAsia"/>
          <w:noProof/>
        </w:rPr>
        <w:drawing>
          <wp:inline distT="0" distB="0" distL="0" distR="0" wp14:anchorId="2C89AD0C" wp14:editId="38C06F64">
            <wp:extent cx="368300" cy="2921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的</w:t>
      </w:r>
      <w:r w:rsidR="00570F51">
        <w:rPr>
          <w:rFonts w:hint="eastAsia"/>
        </w:rPr>
        <w:t>平方</w:t>
      </w:r>
      <w:r>
        <w:rPr>
          <w:rFonts w:hint="eastAsia"/>
        </w:rPr>
        <w:t xml:space="preserve"> </w:t>
      </w:r>
      <w:r w:rsidR="00570F51">
        <w:rPr>
          <w:rFonts w:hint="eastAsia"/>
        </w:rPr>
        <w:t>表示the</w:t>
      </w:r>
      <w:r w:rsidR="00570F51">
        <w:t xml:space="preserve"> magnitude</w:t>
      </w:r>
      <w:r w:rsidR="00570F51">
        <w:rPr>
          <w:rFonts w:hint="eastAsia"/>
        </w:rPr>
        <w:t xml:space="preserve"> </w:t>
      </w:r>
      <w:r w:rsidR="00570F51">
        <w:t xml:space="preserve">of the underlying sentiment </w:t>
      </w:r>
    </w:p>
    <w:p w:rsidR="00570F51" w:rsidRDefault="00570F51">
      <w:proofErr w:type="spellStart"/>
      <w:r>
        <w:t>Deta</w:t>
      </w:r>
      <w:proofErr w:type="spellEnd"/>
      <w:r w:rsidR="007D04E4">
        <w:rPr>
          <w:rFonts w:hint="eastAsia"/>
          <w:noProof/>
        </w:rPr>
        <w:drawing>
          <wp:inline distT="0" distB="0" distL="0" distR="0" wp14:anchorId="2C89AD0C" wp14:editId="38C06F64">
            <wp:extent cx="368300" cy="2921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measures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variation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sentiment）</w:t>
      </w:r>
    </w:p>
    <w:p w:rsidR="008B081E" w:rsidRDefault="008B081E">
      <w:pPr>
        <w:rPr>
          <w:rFonts w:hint="eastAsia"/>
        </w:rPr>
      </w:pPr>
    </w:p>
    <w:p w:rsidR="008B081E" w:rsidRPr="009625D4" w:rsidRDefault="008B081E" w:rsidP="008B081E">
      <w:pPr>
        <w:widowControl/>
        <w:rPr>
          <w:rFonts w:ascii="Arial" w:eastAsia="宋体" w:hAnsi="Arial" w:cs="Arial"/>
          <w:b/>
          <w:bCs/>
          <w:kern w:val="0"/>
        </w:rPr>
      </w:pPr>
      <w:r w:rsidRPr="009625D4">
        <w:rPr>
          <w:rFonts w:ascii="Arial" w:eastAsia="宋体" w:hAnsi="Arial" w:cs="Arial"/>
          <w:b/>
          <w:bCs/>
          <w:kern w:val="0"/>
        </w:rPr>
        <w:t>E</w:t>
      </w:r>
      <w:r w:rsidRPr="009625D4">
        <w:rPr>
          <w:rFonts w:ascii="Arial" w:eastAsia="宋体" w:hAnsi="Arial" w:cs="Arial" w:hint="eastAsia"/>
          <w:b/>
          <w:bCs/>
          <w:kern w:val="0"/>
        </w:rPr>
        <w:t>xcel</w:t>
      </w:r>
      <w:r w:rsidRPr="009625D4">
        <w:rPr>
          <w:rFonts w:ascii="Arial" w:eastAsia="宋体" w:hAnsi="Arial" w:cs="Arial" w:hint="eastAsia"/>
          <w:b/>
          <w:bCs/>
          <w:kern w:val="0"/>
        </w:rPr>
        <w:t>中</w:t>
      </w:r>
      <w:r w:rsidRPr="009625D4">
        <w:rPr>
          <w:rFonts w:ascii="Arial" w:eastAsia="宋体" w:hAnsi="Arial" w:cs="Arial" w:hint="eastAsia"/>
          <w:b/>
          <w:bCs/>
          <w:kern w:val="0"/>
        </w:rPr>
        <w:t xml:space="preserve"> </w:t>
      </w:r>
      <w:r w:rsidRPr="008B081E">
        <w:rPr>
          <w:rFonts w:ascii="Arial" w:eastAsia="宋体" w:hAnsi="Arial" w:cs="Arial"/>
          <w:b/>
          <w:bCs/>
          <w:kern w:val="0"/>
        </w:rPr>
        <w:t>SENT</w:t>
      </w:r>
      <w:r w:rsidRPr="008B081E">
        <w:rPr>
          <w:rFonts w:ascii="Symbol" w:eastAsia="宋体" w:hAnsi="Symbol" w:cs="Arial"/>
          <w:b/>
          <w:bCs/>
          <w:kern w:val="0"/>
          <w:vertAlign w:val="superscript"/>
        </w:rPr>
        <w:t>^</w:t>
      </w:r>
      <w:r w:rsidRPr="008B081E">
        <w:rPr>
          <w:rFonts w:ascii="Arial" w:eastAsia="宋体" w:hAnsi="Arial" w:cs="Arial"/>
          <w:kern w:val="0"/>
        </w:rPr>
        <w:t xml:space="preserve"> </w:t>
      </w:r>
      <w:r w:rsidRPr="009625D4">
        <w:rPr>
          <w:rFonts w:ascii="Arial" w:eastAsia="宋体" w:hAnsi="Arial" w:cs="Arial" w:hint="eastAsia"/>
          <w:kern w:val="0"/>
        </w:rPr>
        <w:t>表示</w:t>
      </w:r>
      <w:r w:rsidRPr="009625D4">
        <w:rPr>
          <w:rFonts w:hint="eastAsia"/>
          <w:noProof/>
        </w:rPr>
        <w:drawing>
          <wp:inline distT="0" distB="0" distL="0" distR="0" wp14:anchorId="2C89AD0C" wp14:editId="38C06F64">
            <wp:extent cx="368300" cy="2921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6931" w:rsidRPr="009625D4">
        <w:rPr>
          <w:rFonts w:ascii="Arial" w:eastAsia="宋体" w:hAnsi="Arial" w:cs="Arial" w:hint="eastAsia"/>
          <w:kern w:val="0"/>
        </w:rPr>
        <w:t>（</w:t>
      </w:r>
      <w:r w:rsidR="00116931" w:rsidRPr="009625D4">
        <w:rPr>
          <w:rFonts w:ascii="Arial" w:eastAsia="宋体" w:hAnsi="Arial" w:cs="Arial" w:hint="eastAsia"/>
          <w:kern w:val="0"/>
        </w:rPr>
        <w:t>1</w:t>
      </w:r>
      <w:r w:rsidR="00116931" w:rsidRPr="009625D4">
        <w:rPr>
          <w:rFonts w:ascii="Arial" w:eastAsia="宋体" w:hAnsi="Arial" w:cs="Arial"/>
          <w:kern w:val="0"/>
        </w:rPr>
        <w:t>965</w:t>
      </w:r>
      <w:r w:rsidR="00116931" w:rsidRPr="009625D4">
        <w:rPr>
          <w:rFonts w:ascii="Arial" w:eastAsia="宋体" w:hAnsi="Arial" w:cs="Arial" w:hint="eastAsia"/>
          <w:kern w:val="0"/>
        </w:rPr>
        <w:t>年</w:t>
      </w:r>
      <w:r w:rsidR="00116931" w:rsidRPr="009625D4">
        <w:rPr>
          <w:rFonts w:ascii="Arial" w:eastAsia="宋体" w:hAnsi="Arial" w:cs="Arial" w:hint="eastAsia"/>
          <w:kern w:val="0"/>
        </w:rPr>
        <w:t>-</w:t>
      </w:r>
      <w:r w:rsidR="00116931" w:rsidRPr="009625D4">
        <w:rPr>
          <w:rFonts w:ascii="Arial" w:eastAsia="宋体" w:hAnsi="Arial" w:cs="Arial"/>
          <w:kern w:val="0"/>
        </w:rPr>
        <w:t>2018</w:t>
      </w:r>
      <w:r w:rsidR="00116931" w:rsidRPr="009625D4">
        <w:rPr>
          <w:rFonts w:ascii="Arial" w:eastAsia="宋体" w:hAnsi="Arial" w:cs="Arial" w:hint="eastAsia"/>
          <w:kern w:val="0"/>
        </w:rPr>
        <w:t>年都有）</w:t>
      </w:r>
    </w:p>
    <w:p w:rsidR="00541CD7" w:rsidRDefault="00541CD7"/>
    <w:p w:rsidR="009625D4" w:rsidRPr="009625D4" w:rsidRDefault="009625D4">
      <w:pPr>
        <w:rPr>
          <w:rFonts w:hint="eastAsia"/>
        </w:rPr>
      </w:pPr>
    </w:p>
    <w:p w:rsidR="00541CD7" w:rsidRPr="00BC3A63" w:rsidRDefault="00541CD7">
      <w:pPr>
        <w:rPr>
          <w:b/>
          <w:bCs/>
          <w:sz w:val="28"/>
          <w:szCs w:val="28"/>
        </w:rPr>
      </w:pPr>
      <w:r w:rsidRPr="00BC3A63">
        <w:rPr>
          <w:rFonts w:hint="eastAsia"/>
          <w:b/>
          <w:bCs/>
          <w:sz w:val="28"/>
          <w:szCs w:val="28"/>
        </w:rPr>
        <w:t>因子</w:t>
      </w:r>
      <w:r w:rsidR="00EB4F0C" w:rsidRPr="00BC3A63">
        <w:rPr>
          <w:b/>
          <w:bCs/>
          <w:sz w:val="28"/>
          <w:szCs w:val="28"/>
        </w:rPr>
        <w:t>2</w:t>
      </w:r>
      <w:r w:rsidRPr="00BC3A63">
        <w:rPr>
          <w:b/>
          <w:bCs/>
          <w:sz w:val="28"/>
          <w:szCs w:val="28"/>
        </w:rPr>
        <w:t xml:space="preserve">: </w:t>
      </w:r>
      <w:r w:rsidR="00CF59C9" w:rsidRPr="00BC3A63">
        <w:rPr>
          <w:b/>
          <w:bCs/>
          <w:sz w:val="28"/>
          <w:szCs w:val="28"/>
        </w:rPr>
        <w:t>stock market illiquidity</w:t>
      </w:r>
      <w:r w:rsidR="00CF59C9" w:rsidRPr="00BC3A63">
        <w:rPr>
          <w:rFonts w:hint="eastAsia"/>
          <w:b/>
          <w:bCs/>
          <w:sz w:val="28"/>
          <w:szCs w:val="28"/>
        </w:rPr>
        <w:t>股票市场的非流动性</w:t>
      </w:r>
    </w:p>
    <w:p w:rsidR="00BC3A63" w:rsidRDefault="00BC3A63">
      <w:r>
        <w:rPr>
          <w:rFonts w:hint="eastAsia"/>
        </w:rPr>
        <w:t>文献：</w:t>
      </w:r>
      <w:r w:rsidRPr="00BC3A63">
        <w:t>Stock Market Illiquidity, Funding Liquidity, and Bond Risk Premia*</w:t>
      </w:r>
    </w:p>
    <w:p w:rsidR="00BC3A63" w:rsidRDefault="00BC3A63"/>
    <w:p w:rsidR="00BC3A63" w:rsidRDefault="00BC3A63">
      <w:r>
        <w:rPr>
          <w:rFonts w:hint="eastAsia"/>
        </w:rPr>
        <w:t>为何用：</w:t>
      </w:r>
    </w:p>
    <w:p w:rsidR="00BC3A63" w:rsidRPr="00BC3A63" w:rsidRDefault="00BC3A63">
      <w:pPr>
        <w:rPr>
          <w:rFonts w:hint="eastAsia"/>
        </w:rPr>
      </w:pPr>
      <w:r w:rsidRPr="00BC3A63">
        <w:t>We argue that stock market illiquidity is a timely variable that is associated with the state of funding liquidity.</w:t>
      </w:r>
    </w:p>
    <w:p w:rsidR="00541CD7" w:rsidRDefault="00541CD7">
      <w:pPr>
        <w:rPr>
          <w:rFonts w:hint="eastAsia"/>
        </w:rPr>
      </w:pPr>
    </w:p>
    <w:p w:rsidR="00541CD7" w:rsidRDefault="00BC3A63">
      <w:pPr>
        <w:rPr>
          <w:rFonts w:hint="eastAsia"/>
        </w:rPr>
      </w:pPr>
      <w:r>
        <w:rPr>
          <w:rFonts w:hint="eastAsia"/>
        </w:rPr>
        <w:t>数据</w:t>
      </w:r>
      <w:r w:rsidR="00814E6F">
        <w:rPr>
          <w:rFonts w:hint="eastAsia"/>
        </w:rPr>
        <w:t>：</w:t>
      </w:r>
      <w:proofErr w:type="spellStart"/>
      <w:r w:rsidR="00814E6F">
        <w:rPr>
          <w:rFonts w:hint="eastAsia"/>
        </w:rPr>
        <w:t>Amihud</w:t>
      </w:r>
      <w:proofErr w:type="spellEnd"/>
      <w:r w:rsidR="00814E6F">
        <w:rPr>
          <w:rFonts w:hint="eastAsia"/>
        </w:rPr>
        <w:t>（2</w:t>
      </w:r>
      <w:r w:rsidR="00814E6F">
        <w:t>002</w:t>
      </w:r>
      <w:r w:rsidR="00814E6F">
        <w:rPr>
          <w:rFonts w:hint="eastAsia"/>
        </w:rPr>
        <w:t>） i</w:t>
      </w:r>
      <w:r w:rsidR="00814E6F" w:rsidRPr="00814E6F">
        <w:t xml:space="preserve">s the same used in </w:t>
      </w:r>
      <w:proofErr w:type="spellStart"/>
      <w:r w:rsidR="00814E6F" w:rsidRPr="00814E6F">
        <w:t>Næs</w:t>
      </w:r>
      <w:proofErr w:type="spellEnd"/>
      <w:r w:rsidR="00814E6F" w:rsidRPr="00814E6F">
        <w:t xml:space="preserve"> et al. (2011) and is kindly provided by Johannes </w:t>
      </w:r>
      <w:proofErr w:type="spellStart"/>
      <w:r w:rsidR="00814E6F" w:rsidRPr="00814E6F">
        <w:t>Skjeltorp</w:t>
      </w:r>
      <w:proofErr w:type="spellEnd"/>
      <w:r w:rsidR="00814E6F" w:rsidRPr="00814E6F">
        <w:t>.</w:t>
      </w:r>
    </w:p>
    <w:p w:rsidR="00EB4F0C" w:rsidRDefault="00EB4F0C"/>
    <w:p w:rsidR="00EB4F0C" w:rsidRPr="00E95CFF" w:rsidRDefault="00814E6F">
      <w:pPr>
        <w:rPr>
          <w:rFonts w:hint="eastAsia"/>
        </w:rPr>
      </w:pPr>
      <w:r>
        <w:rPr>
          <w:rFonts w:hint="eastAsia"/>
        </w:rPr>
        <w:t xml:space="preserve">算了 看了好久 感觉比较复杂 </w:t>
      </w:r>
      <w:r w:rsidR="00D24F80">
        <w:rPr>
          <w:rFonts w:hint="eastAsia"/>
        </w:rPr>
        <w:t>涉及</w:t>
      </w:r>
      <w:r>
        <w:rPr>
          <w:rFonts w:hint="eastAsia"/>
        </w:rPr>
        <w:t>因素较多</w:t>
      </w:r>
      <w:r w:rsidR="00D24F80">
        <w:rPr>
          <w:rFonts w:hint="eastAsia"/>
        </w:rPr>
        <w:t xml:space="preserve"> 不要了</w:t>
      </w:r>
    </w:p>
    <w:p w:rsidR="00EB4F0C" w:rsidRDefault="00EB4F0C">
      <w:pPr>
        <w:rPr>
          <w:rFonts w:hint="eastAsia"/>
        </w:rPr>
      </w:pPr>
    </w:p>
    <w:sectPr w:rsidR="00EB4F0C" w:rsidSect="00A002F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1FA"/>
    <w:rsid w:val="00113D19"/>
    <w:rsid w:val="00116931"/>
    <w:rsid w:val="00137F05"/>
    <w:rsid w:val="001A5FA3"/>
    <w:rsid w:val="001B2D6F"/>
    <w:rsid w:val="001F18D5"/>
    <w:rsid w:val="004049D7"/>
    <w:rsid w:val="00541CD7"/>
    <w:rsid w:val="0054391F"/>
    <w:rsid w:val="00570F51"/>
    <w:rsid w:val="005C655C"/>
    <w:rsid w:val="007139F7"/>
    <w:rsid w:val="007D04E4"/>
    <w:rsid w:val="007F254B"/>
    <w:rsid w:val="00814E6F"/>
    <w:rsid w:val="008B081E"/>
    <w:rsid w:val="008F5B96"/>
    <w:rsid w:val="00937461"/>
    <w:rsid w:val="009625D4"/>
    <w:rsid w:val="00A002F5"/>
    <w:rsid w:val="00B1527D"/>
    <w:rsid w:val="00B35E21"/>
    <w:rsid w:val="00BC3A63"/>
    <w:rsid w:val="00CE3349"/>
    <w:rsid w:val="00CF59C9"/>
    <w:rsid w:val="00D24F80"/>
    <w:rsid w:val="00DD34D8"/>
    <w:rsid w:val="00E95CFF"/>
    <w:rsid w:val="00EB4F0C"/>
    <w:rsid w:val="00F9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46A4B8"/>
  <w14:defaultImageDpi w14:val="32767"/>
  <w15:chartTrackingRefBased/>
  <w15:docId w15:val="{381997D0-D127-5145-8574-8AC46BB07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8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8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5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7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7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5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8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4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98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7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2020-11-28T06:05:00Z</dcterms:created>
  <dcterms:modified xsi:type="dcterms:W3CDTF">2020-11-28T15:02:00Z</dcterms:modified>
</cp:coreProperties>
</file>