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2933" w:rsidRPr="005B2824" w:rsidRDefault="001313B9" w:rsidP="00C9494C">
      <w:pPr>
        <w:ind w:left="420" w:hanging="420"/>
        <w:jc w:val="both"/>
        <w:rPr>
          <w:rFonts w:ascii="Times New Roman" w:hAnsi="Times New Roman" w:cs="Times New Roman"/>
          <w:b/>
          <w:bCs/>
        </w:rPr>
      </w:pPr>
      <w:r w:rsidRPr="005B2824">
        <w:rPr>
          <w:rFonts w:ascii="Times New Roman" w:hAnsi="Times New Roman" w:cs="Times New Roman"/>
          <w:b/>
          <w:bCs/>
        </w:rPr>
        <w:t>一、</w:t>
      </w:r>
      <w:r w:rsidR="00502933" w:rsidRPr="005B2824">
        <w:rPr>
          <w:rFonts w:ascii="Times New Roman" w:hAnsi="Times New Roman" w:cs="Times New Roman"/>
          <w:b/>
          <w:bCs/>
        </w:rPr>
        <w:t>bond supply and excess bond returns</w:t>
      </w:r>
    </w:p>
    <w:p w:rsidR="00502933" w:rsidRPr="005B2824" w:rsidRDefault="00502933" w:rsidP="00C9494C">
      <w:pPr>
        <w:ind w:left="420" w:hanging="420"/>
        <w:jc w:val="both"/>
        <w:rPr>
          <w:rFonts w:ascii="Times New Roman" w:hAnsi="Times New Roman" w:cs="Times New Roman"/>
        </w:rPr>
      </w:pPr>
      <w:r w:rsidRPr="005B2824">
        <w:rPr>
          <w:rFonts w:ascii="Times New Roman" w:hAnsi="Times New Roman" w:cs="Times New Roman"/>
        </w:rPr>
        <w:t>文献来源：</w:t>
      </w:r>
      <w:r w:rsidRPr="005B2824">
        <w:rPr>
          <w:rFonts w:ascii="Times New Roman" w:hAnsi="Times New Roman" w:cs="Times New Roman"/>
        </w:rPr>
        <w:t>The Review of Financial Studies</w:t>
      </w:r>
    </w:p>
    <w:p w:rsidR="00502933" w:rsidRPr="005B2824" w:rsidRDefault="0044737C" w:rsidP="00C9494C">
      <w:pPr>
        <w:jc w:val="both"/>
        <w:rPr>
          <w:rFonts w:ascii="Times New Roman" w:hAnsi="Times New Roman" w:cs="Times New Roman"/>
          <w:b/>
          <w:bCs/>
          <w:color w:val="2A2A2A"/>
          <w:sz w:val="23"/>
          <w:szCs w:val="23"/>
          <w:shd w:val="clear" w:color="auto" w:fill="FFFFFF"/>
        </w:rPr>
      </w:pPr>
      <w:hyperlink r:id="rId5" w:anchor="M5" w:history="1">
        <w:r w:rsidR="00502933" w:rsidRPr="005B2824">
          <w:rPr>
            <w:rStyle w:val="a4"/>
            <w:rFonts w:ascii="Times New Roman" w:hAnsi="Times New Roman" w:cs="Times New Roman"/>
            <w:b/>
            <w:bCs/>
            <w:sz w:val="23"/>
            <w:szCs w:val="23"/>
            <w:shd w:val="clear" w:color="auto" w:fill="FFFFFF"/>
          </w:rPr>
          <w:t>https://academic.oup.c</w:t>
        </w:r>
        <w:r w:rsidR="00502933" w:rsidRPr="005B2824">
          <w:rPr>
            <w:rStyle w:val="a4"/>
            <w:rFonts w:ascii="Times New Roman" w:hAnsi="Times New Roman" w:cs="Times New Roman"/>
            <w:b/>
            <w:bCs/>
            <w:sz w:val="23"/>
            <w:szCs w:val="23"/>
            <w:shd w:val="clear" w:color="auto" w:fill="FFFFFF"/>
          </w:rPr>
          <w:t>o</w:t>
        </w:r>
        <w:r w:rsidR="00502933" w:rsidRPr="005B2824">
          <w:rPr>
            <w:rStyle w:val="a4"/>
            <w:rFonts w:ascii="Times New Roman" w:hAnsi="Times New Roman" w:cs="Times New Roman"/>
            <w:b/>
            <w:bCs/>
            <w:sz w:val="23"/>
            <w:szCs w:val="23"/>
            <w:shd w:val="clear" w:color="auto" w:fill="FFFFFF"/>
          </w:rPr>
          <w:t>m/rfs/article/27/3/663/1581525</w:t>
        </w:r>
        <w:r w:rsidR="00502933" w:rsidRPr="005B2824">
          <w:rPr>
            <w:rStyle w:val="a4"/>
            <w:rFonts w:ascii="Times New Roman" w:hAnsi="Times New Roman" w:cs="Times New Roman"/>
            <w:b/>
            <w:bCs/>
            <w:sz w:val="23"/>
            <w:szCs w:val="23"/>
            <w:shd w:val="clear" w:color="auto" w:fill="FFFFFF"/>
          </w:rPr>
          <w:t>#</w:t>
        </w:r>
        <w:r w:rsidR="00502933" w:rsidRPr="005B2824">
          <w:rPr>
            <w:rStyle w:val="a4"/>
            <w:rFonts w:ascii="Times New Roman" w:hAnsi="Times New Roman" w:cs="Times New Roman"/>
            <w:b/>
            <w:bCs/>
            <w:sz w:val="23"/>
            <w:szCs w:val="23"/>
            <w:shd w:val="clear" w:color="auto" w:fill="FFFFFF"/>
          </w:rPr>
          <w:t>M5</w:t>
        </w:r>
      </w:hyperlink>
    </w:p>
    <w:p w:rsidR="00502933" w:rsidRPr="005B2824" w:rsidRDefault="001313B9" w:rsidP="00C9494C">
      <w:pPr>
        <w:jc w:val="both"/>
        <w:rPr>
          <w:rFonts w:ascii="Times New Roman" w:hAnsi="Times New Roman" w:cs="Times New Roman"/>
        </w:rPr>
      </w:pPr>
      <w:r w:rsidRPr="005B2824">
        <w:rPr>
          <w:rFonts w:ascii="Times New Roman" w:hAnsi="Times New Roman" w:cs="Times New Roman"/>
        </w:rPr>
        <w:t>(1)</w:t>
      </w:r>
      <w:r w:rsidR="007C720D" w:rsidRPr="005B2824">
        <w:rPr>
          <w:rFonts w:ascii="Times New Roman" w:hAnsi="Times New Roman" w:cs="Times New Roman"/>
        </w:rPr>
        <w:t>因子</w:t>
      </w:r>
    </w:p>
    <w:p w:rsidR="000F76D1" w:rsidRPr="005B2824" w:rsidRDefault="007C720D" w:rsidP="00C9494C">
      <w:pPr>
        <w:pStyle w:val="a3"/>
        <w:numPr>
          <w:ilvl w:val="0"/>
          <w:numId w:val="3"/>
        </w:numPr>
        <w:ind w:firstLineChars="0"/>
        <w:rPr>
          <w:rFonts w:ascii="Times New Roman" w:hAnsi="Times New Roman" w:cs="Times New Roman"/>
        </w:rPr>
      </w:pPr>
      <w:r w:rsidRPr="005B2824">
        <w:rPr>
          <w:rFonts w:ascii="Times New Roman" w:hAnsi="Times New Roman" w:cs="Times New Roman"/>
        </w:rPr>
        <w:t>supply</w:t>
      </w:r>
    </w:p>
    <w:p w:rsidR="007C720D" w:rsidRPr="005B2824" w:rsidRDefault="007C720D" w:rsidP="00C9494C">
      <w:pPr>
        <w:jc w:val="both"/>
        <w:rPr>
          <w:rFonts w:ascii="Times New Roman" w:hAnsi="Times New Roman" w:cs="Times New Roman"/>
        </w:rPr>
      </w:pPr>
      <w:r w:rsidRPr="005B2824">
        <w:rPr>
          <w:rFonts w:ascii="Times New Roman" w:hAnsi="Times New Roman" w:cs="Times New Roman"/>
          <w:color w:val="2A2A2A"/>
          <w:sz w:val="23"/>
          <w:szCs w:val="23"/>
          <w:shd w:val="clear" w:color="auto" w:fill="FFFFFF"/>
        </w:rPr>
        <w:t>the empirically relevant measure of supply is maturity-weighted debt, which captures the duration risk that arbitrageurs must bear. </w:t>
      </w:r>
    </w:p>
    <w:p w:rsidR="007C720D" w:rsidRPr="005B2824" w:rsidRDefault="007C720D" w:rsidP="00C9494C">
      <w:pPr>
        <w:jc w:val="both"/>
        <w:rPr>
          <w:rFonts w:ascii="Times New Roman" w:hAnsi="Times New Roman" w:cs="Times New Roman"/>
        </w:rPr>
      </w:pPr>
    </w:p>
    <w:p w:rsidR="00502933" w:rsidRPr="005B2824" w:rsidRDefault="00502933" w:rsidP="00C9494C">
      <w:pPr>
        <w:jc w:val="both"/>
        <w:rPr>
          <w:rFonts w:ascii="Times New Roman" w:hAnsi="Times New Roman" w:cs="Times New Roman"/>
        </w:rPr>
      </w:pPr>
      <w:r w:rsidRPr="005B2824">
        <w:rPr>
          <w:rFonts w:ascii="Times New Roman" w:hAnsi="Times New Roman" w:cs="Times New Roman"/>
          <w:noProof/>
        </w:rPr>
        <w:drawing>
          <wp:inline distT="0" distB="0" distL="0" distR="0" wp14:anchorId="0ACB5A21" wp14:editId="364D68EC">
            <wp:extent cx="3657600" cy="139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3657600" cy="1397000"/>
                    </a:xfrm>
                    <a:prstGeom prst="rect">
                      <a:avLst/>
                    </a:prstGeom>
                  </pic:spPr>
                </pic:pic>
              </a:graphicData>
            </a:graphic>
          </wp:inline>
        </w:drawing>
      </w:r>
    </w:p>
    <w:p w:rsidR="00C12A16" w:rsidRPr="005B2824" w:rsidRDefault="00C12A16" w:rsidP="00C9494C">
      <w:pPr>
        <w:jc w:val="both"/>
        <w:rPr>
          <w:rFonts w:ascii="Times New Roman" w:hAnsi="Times New Roman" w:cs="Times New Roman"/>
        </w:rPr>
      </w:pPr>
      <w:r w:rsidRPr="005B2824">
        <w:rPr>
          <w:rFonts w:ascii="Times New Roman" w:hAnsi="Times New Roman" w:cs="Times New Roman"/>
          <w:color w:val="2A2A2A"/>
          <w:sz w:val="23"/>
          <w:szCs w:val="23"/>
          <w:shd w:val="clear" w:color="auto" w:fill="FFFFFF"/>
        </w:rPr>
        <w:t>MWD/GDP is the maturity-weighted-debt-to-GDP ratio, computed by multiplying each debt payment by the corresponding maturity, summing across maturities, and scaling by GDP.</w:t>
      </w:r>
      <w:r w:rsidRPr="005B2824">
        <w:rPr>
          <w:rStyle w:val="apple-converted-space"/>
          <w:rFonts w:ascii="Times New Roman" w:hAnsi="Times New Roman" w:cs="Times New Roman"/>
          <w:color w:val="2A2A2A"/>
          <w:sz w:val="23"/>
          <w:szCs w:val="23"/>
          <w:shd w:val="clear" w:color="auto" w:fill="FFFFFF"/>
        </w:rPr>
        <w:t> </w:t>
      </w:r>
    </w:p>
    <w:p w:rsidR="00C12A16" w:rsidRPr="005B2824" w:rsidRDefault="00C12A16" w:rsidP="00C9494C">
      <w:pPr>
        <w:jc w:val="both"/>
        <w:rPr>
          <w:rFonts w:ascii="Times New Roman" w:hAnsi="Times New Roman" w:cs="Times New Roman"/>
        </w:rPr>
      </w:pPr>
    </w:p>
    <w:p w:rsidR="00502933" w:rsidRPr="005B2824" w:rsidRDefault="00502933" w:rsidP="00C9494C">
      <w:pPr>
        <w:jc w:val="both"/>
        <w:rPr>
          <w:rFonts w:ascii="Times New Roman" w:hAnsi="Times New Roman" w:cs="Times New Roman"/>
        </w:rPr>
      </w:pPr>
      <w:r w:rsidRPr="005B2824">
        <w:rPr>
          <w:rFonts w:ascii="Times New Roman" w:hAnsi="Times New Roman" w:cs="Times New Roman"/>
          <w:color w:val="2A2A2A"/>
          <w:sz w:val="23"/>
          <w:szCs w:val="23"/>
          <w:shd w:val="clear" w:color="auto" w:fill="FFFFFF"/>
        </w:rPr>
        <w:t>A useful decomposition of maturity-weighted debt to GDP is </w:t>
      </w:r>
      <w:r w:rsidRPr="005B2824">
        <w:rPr>
          <w:rFonts w:ascii="Times New Roman" w:hAnsi="Times New Roman" w:cs="Times New Roman"/>
        </w:rPr>
        <w:t> </w:t>
      </w:r>
    </w:p>
    <w:p w:rsidR="00502933" w:rsidRPr="005B2824" w:rsidRDefault="00502933" w:rsidP="00C9494C">
      <w:pPr>
        <w:jc w:val="both"/>
        <w:rPr>
          <w:rFonts w:ascii="Times New Roman" w:hAnsi="Times New Roman" w:cs="Times New Roman"/>
        </w:rPr>
      </w:pPr>
      <w:r w:rsidRPr="005B2824">
        <w:rPr>
          <w:rFonts w:ascii="Times New Roman" w:hAnsi="Times New Roman" w:cs="Times New Roman"/>
          <w:noProof/>
        </w:rPr>
        <w:drawing>
          <wp:inline distT="0" distB="0" distL="0" distR="0" wp14:anchorId="680FE197" wp14:editId="444E4482">
            <wp:extent cx="3975100" cy="100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3975100" cy="1003300"/>
                    </a:xfrm>
                    <a:prstGeom prst="rect">
                      <a:avLst/>
                    </a:prstGeom>
                  </pic:spPr>
                </pic:pic>
              </a:graphicData>
            </a:graphic>
          </wp:inline>
        </w:drawing>
      </w:r>
    </w:p>
    <w:p w:rsidR="007C720D" w:rsidRPr="005B2824" w:rsidRDefault="007C720D" w:rsidP="00C9494C">
      <w:pPr>
        <w:jc w:val="both"/>
        <w:rPr>
          <w:rFonts w:ascii="Times New Roman" w:hAnsi="Times New Roman" w:cs="Times New Roman"/>
        </w:rPr>
      </w:pPr>
    </w:p>
    <w:p w:rsidR="007C720D" w:rsidRPr="005B2824" w:rsidRDefault="007C720D" w:rsidP="00C9494C">
      <w:pPr>
        <w:jc w:val="both"/>
        <w:rPr>
          <w:rFonts w:ascii="Times New Roman" w:hAnsi="Times New Roman" w:cs="Times New Roman"/>
        </w:rPr>
      </w:pPr>
      <w:r w:rsidRPr="005B2824">
        <w:rPr>
          <w:rFonts w:ascii="Times New Roman" w:hAnsi="Times New Roman" w:cs="Times New Roman"/>
        </w:rPr>
        <w:t xml:space="preserve">The variable Mt is dollar-weighted average maturity, constructed by weighting each maturity τ by the fraction that the corresponding payments </w:t>
      </w:r>
    </w:p>
    <w:p w:rsidR="007C720D" w:rsidRPr="005B2824" w:rsidRDefault="0044737C" w:rsidP="00C9494C">
      <w:pPr>
        <w:jc w:val="both"/>
        <w:rPr>
          <w:rFonts w:ascii="Times New Roman" w:hAnsi="Times New Roman" w:cs="Times New Roman"/>
        </w:rPr>
      </w:pPr>
      <m:oMath>
        <m:sSubSup>
          <m:sSubSupPr>
            <m:ctrlPr>
              <w:rPr>
                <w:rFonts w:ascii="Cambria Math" w:eastAsiaTheme="minorEastAsia" w:hAnsi="Cambria Math" w:cs="Times New Roman"/>
                <w:i/>
                <w:kern w:val="2"/>
                <w:sz w:val="21"/>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m:t>
            </m:r>
            <m:r>
              <w:rPr>
                <w:rFonts w:ascii="Cambria Math" w:hAnsi="Cambria Math" w:cs="Times New Roman"/>
              </w:rPr>
              <m:t>τ</m:t>
            </m:r>
            <m:r>
              <w:rPr>
                <w:rFonts w:ascii="Cambria Math" w:hAnsi="Cambria Math" w:cs="Times New Roman"/>
              </w:rPr>
              <m:t>）</m:t>
            </m:r>
          </m:sup>
        </m:sSubSup>
      </m:oMath>
      <w:r w:rsidR="007C720D" w:rsidRPr="005B2824">
        <w:rPr>
          <w:rFonts w:ascii="Times New Roman" w:hAnsi="Times New Roman" w:cs="Times New Roman"/>
        </w:rPr>
        <w:t xml:space="preserve"> represent of total payments. The variable </w:t>
      </w:r>
      <m:oMath>
        <m:nary>
          <m:naryPr>
            <m:chr m:val="∑"/>
            <m:limLoc m:val="subSup"/>
            <m:supHide m:val="1"/>
            <m:ctrlPr>
              <w:rPr>
                <w:rFonts w:ascii="Cambria Math" w:eastAsiaTheme="minorEastAsia" w:hAnsi="Cambria Math" w:cs="Times New Roman"/>
                <w:i/>
                <w:kern w:val="2"/>
                <w:sz w:val="21"/>
              </w:rPr>
            </m:ctrlPr>
          </m:naryPr>
          <m:sub>
            <m:r>
              <w:rPr>
                <w:rFonts w:ascii="Cambria Math" w:hAnsi="Cambria Math" w:cs="Times New Roman"/>
              </w:rPr>
              <m:t>0&lt;τ≤30</m:t>
            </m:r>
          </m:sub>
          <m:sup/>
          <m:e>
            <m:f>
              <m:fPr>
                <m:type m:val="lin"/>
                <m:ctrlPr>
                  <w:rPr>
                    <w:rFonts w:ascii="Cambria Math" w:eastAsiaTheme="minorEastAsia" w:hAnsi="Cambria Math" w:cs="Times New Roman"/>
                    <w:i/>
                    <w:kern w:val="2"/>
                    <w:sz w:val="21"/>
                  </w:rPr>
                </m:ctrlPr>
              </m:fPr>
              <m:num>
                <m:sSubSup>
                  <m:sSubSupPr>
                    <m:ctrlPr>
                      <w:rPr>
                        <w:rFonts w:ascii="Cambria Math" w:eastAsiaTheme="minorEastAsia" w:hAnsi="Cambria Math" w:cs="Times New Roman"/>
                        <w:i/>
                        <w:kern w:val="2"/>
                        <w:sz w:val="21"/>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m:t>
                    </m:r>
                    <m:r>
                      <w:rPr>
                        <w:rFonts w:ascii="Cambria Math" w:hAnsi="Cambria Math" w:cs="Times New Roman"/>
                      </w:rPr>
                      <m:t>τ</m:t>
                    </m:r>
                    <m:r>
                      <w:rPr>
                        <w:rFonts w:ascii="Cambria Math" w:hAnsi="Cambria Math" w:cs="Times New Roman"/>
                      </w:rPr>
                      <m:t>）</m:t>
                    </m:r>
                  </m:sup>
                </m:sSubSup>
              </m:num>
              <m:den>
                <m:sSub>
                  <m:sSubPr>
                    <m:ctrlPr>
                      <w:rPr>
                        <w:rFonts w:ascii="Cambria Math" w:eastAsiaTheme="minorEastAsia" w:hAnsi="Cambria Math" w:cs="Times New Roman"/>
                        <w:i/>
                        <w:kern w:val="2"/>
                        <w:sz w:val="21"/>
                      </w:rPr>
                    </m:ctrlPr>
                  </m:sSubPr>
                  <m:e>
                    <m:r>
                      <w:rPr>
                        <w:rFonts w:ascii="Cambria Math" w:hAnsi="Cambria Math" w:cs="Times New Roman"/>
                      </w:rPr>
                      <m:t>GDP</m:t>
                    </m:r>
                  </m:e>
                  <m:sub>
                    <m:r>
                      <w:rPr>
                        <w:rFonts w:ascii="Cambria Math" w:hAnsi="Cambria Math" w:cs="Times New Roman"/>
                      </w:rPr>
                      <m:t>t</m:t>
                    </m:r>
                  </m:sub>
                </m:sSub>
              </m:den>
            </m:f>
          </m:e>
        </m:nary>
      </m:oMath>
      <w:r w:rsidR="007C720D" w:rsidRPr="005B2824">
        <w:rPr>
          <w:rFonts w:ascii="Times New Roman" w:hAnsi="Times New Roman" w:cs="Times New Roman"/>
        </w:rPr>
        <w:t xml:space="preserve"> is total debt payments divided by </w:t>
      </w:r>
      <w:proofErr w:type="gramStart"/>
      <w:r w:rsidR="007C720D" w:rsidRPr="005B2824">
        <w:rPr>
          <w:rFonts w:ascii="Times New Roman" w:hAnsi="Times New Roman" w:cs="Times New Roman"/>
        </w:rPr>
        <w:t>GDP.</w:t>
      </w:r>
      <w:proofErr w:type="gramEnd"/>
    </w:p>
    <w:p w:rsidR="007C720D" w:rsidRPr="005B2824" w:rsidRDefault="007C720D" w:rsidP="00C9494C">
      <w:pPr>
        <w:jc w:val="both"/>
        <w:rPr>
          <w:rFonts w:ascii="Times New Roman" w:hAnsi="Times New Roman" w:cs="Times New Roman"/>
        </w:rPr>
      </w:pPr>
    </w:p>
    <w:p w:rsidR="00502933" w:rsidRPr="005B2824" w:rsidRDefault="00502933" w:rsidP="00C9494C">
      <w:pPr>
        <w:pStyle w:val="a3"/>
        <w:numPr>
          <w:ilvl w:val="0"/>
          <w:numId w:val="3"/>
        </w:numPr>
        <w:ind w:firstLineChars="0"/>
        <w:rPr>
          <w:rFonts w:ascii="Times New Roman" w:hAnsi="Times New Roman" w:cs="Times New Roman"/>
        </w:rPr>
      </w:pPr>
      <w:r w:rsidRPr="005B2824">
        <w:rPr>
          <w:rFonts w:ascii="Times New Roman" w:hAnsi="Times New Roman" w:cs="Times New Roman"/>
        </w:rPr>
        <w:t>maturity</w:t>
      </w:r>
      <w:r w:rsidR="007C720D" w:rsidRPr="005B2824">
        <w:rPr>
          <w:rFonts w:ascii="Times New Roman" w:hAnsi="Times New Roman" w:cs="Times New Roman"/>
        </w:rPr>
        <w:t xml:space="preserve"> structure</w:t>
      </w:r>
    </w:p>
    <w:p w:rsidR="006568ED" w:rsidRPr="005B2824" w:rsidRDefault="006568ED" w:rsidP="00C9494C">
      <w:pPr>
        <w:jc w:val="both"/>
        <w:rPr>
          <w:rFonts w:ascii="Times New Roman" w:hAnsi="Times New Roman" w:cs="Times New Roman"/>
        </w:rPr>
      </w:pPr>
    </w:p>
    <w:p w:rsidR="00502933" w:rsidRPr="005B2824" w:rsidRDefault="00502933" w:rsidP="00C9494C">
      <w:pPr>
        <w:jc w:val="both"/>
        <w:rPr>
          <w:rFonts w:ascii="Times New Roman" w:hAnsi="Times New Roman" w:cs="Times New Roman"/>
        </w:rPr>
      </w:pPr>
      <w:r w:rsidRPr="005B2824">
        <w:rPr>
          <w:rFonts w:ascii="Times New Roman" w:hAnsi="Times New Roman" w:cs="Times New Roman"/>
          <w:color w:val="2A2A2A"/>
          <w:sz w:val="23"/>
          <w:szCs w:val="23"/>
          <w:shd w:val="clear" w:color="auto" w:fill="FFFFFF"/>
        </w:rPr>
        <w:t xml:space="preserve">We use the </w:t>
      </w:r>
      <w:proofErr w:type="spellStart"/>
      <w:r w:rsidRPr="005B2824">
        <w:rPr>
          <w:rFonts w:ascii="Times New Roman" w:hAnsi="Times New Roman" w:cs="Times New Roman"/>
          <w:color w:val="2A2A2A"/>
          <w:sz w:val="23"/>
          <w:szCs w:val="23"/>
          <w:shd w:val="clear" w:color="auto" w:fill="FFFFFF"/>
        </w:rPr>
        <w:t>Fama</w:t>
      </w:r>
      <w:proofErr w:type="spellEnd"/>
      <w:r w:rsidRPr="005B2824">
        <w:rPr>
          <w:rFonts w:ascii="Times New Roman" w:hAnsi="Times New Roman" w:cs="Times New Roman"/>
          <w:color w:val="2A2A2A"/>
          <w:sz w:val="23"/>
          <w:szCs w:val="23"/>
          <w:shd w:val="clear" w:color="auto" w:fill="FFFFFF"/>
        </w:rPr>
        <w:t>-Bliss discount bond database to obtain yields and holding-period returns for one-, two-, three-, four-, and five-year zero-coupon bonds for the 1952–2007 sample period.</w:t>
      </w:r>
    </w:p>
    <w:p w:rsidR="00502933" w:rsidRPr="005B2824" w:rsidRDefault="00502933" w:rsidP="00C9494C">
      <w:pPr>
        <w:jc w:val="both"/>
        <w:rPr>
          <w:rFonts w:ascii="Times New Roman" w:hAnsi="Times New Roman" w:cs="Times New Roman"/>
        </w:rPr>
      </w:pPr>
    </w:p>
    <w:p w:rsidR="00502933" w:rsidRPr="005B2824" w:rsidRDefault="00502933" w:rsidP="00C9494C">
      <w:pPr>
        <w:jc w:val="both"/>
        <w:rPr>
          <w:rFonts w:ascii="Times New Roman" w:hAnsi="Times New Roman" w:cs="Times New Roman"/>
        </w:rPr>
      </w:pPr>
      <w:r w:rsidRPr="005B2824">
        <w:rPr>
          <w:rFonts w:ascii="Times New Roman" w:hAnsi="Times New Roman" w:cs="Times New Roman"/>
        </w:rPr>
        <w:t>Yields and returns are computed in logs. We denote by y(τ)t the yield of the τ-year bond at date </w:t>
      </w:r>
      <w:r w:rsidRPr="005B2824">
        <w:rPr>
          <w:rFonts w:ascii="Times New Roman" w:hAnsi="Times New Roman" w:cs="Times New Roman"/>
          <w:i/>
          <w:iCs/>
        </w:rPr>
        <w:t>t</w:t>
      </w:r>
      <w:r w:rsidRPr="005B2824">
        <w:rPr>
          <w:rFonts w:ascii="Times New Roman" w:hAnsi="Times New Roman" w:cs="Times New Roman"/>
        </w:rPr>
        <w:t xml:space="preserve">. (This is consistent with the notation in our model for the one- to five-year bonds because they are zero-coupon, and for simplicity we also use this notation for the </w:t>
      </w:r>
      <w:r w:rsidRPr="005B2824">
        <w:rPr>
          <w:rFonts w:ascii="Times New Roman" w:hAnsi="Times New Roman" w:cs="Times New Roman"/>
        </w:rPr>
        <w:lastRenderedPageBreak/>
        <w:t>long-term coupon bond.) We denote by r(τ)t+1 the return of the τ-year bond during the year following date </w:t>
      </w:r>
      <w:r w:rsidRPr="005B2824">
        <w:rPr>
          <w:rFonts w:ascii="Times New Roman" w:hAnsi="Times New Roman" w:cs="Times New Roman"/>
          <w:i/>
          <w:iCs/>
        </w:rPr>
        <w:t>t</w:t>
      </w:r>
      <w:r w:rsidRPr="005B2824">
        <w:rPr>
          <w:rFonts w:ascii="Times New Roman" w:hAnsi="Times New Roman" w:cs="Times New Roman"/>
        </w:rPr>
        <w:t>, and by  </w:t>
      </w:r>
    </w:p>
    <w:p w:rsidR="00502933" w:rsidRPr="005B2824" w:rsidRDefault="00502933" w:rsidP="00C9494C">
      <w:pPr>
        <w:jc w:val="both"/>
        <w:rPr>
          <w:rFonts w:ascii="Times New Roman" w:hAnsi="Times New Roman" w:cs="Times New Roman"/>
        </w:rPr>
      </w:pPr>
      <w:r w:rsidRPr="005B2824">
        <w:rPr>
          <w:rFonts w:ascii="Times New Roman" w:hAnsi="Times New Roman" w:cs="Times New Roman"/>
          <w:noProof/>
        </w:rPr>
        <w:drawing>
          <wp:inline distT="0" distB="0" distL="0" distR="0">
            <wp:extent cx="2705100" cy="1231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705100" cy="1231900"/>
                    </a:xfrm>
                    <a:prstGeom prst="rect">
                      <a:avLst/>
                    </a:prstGeom>
                  </pic:spPr>
                </pic:pic>
              </a:graphicData>
            </a:graphic>
          </wp:inline>
        </w:drawing>
      </w:r>
    </w:p>
    <w:p w:rsidR="00502933" w:rsidRPr="005B2824" w:rsidRDefault="00502933" w:rsidP="00C9494C">
      <w:pPr>
        <w:jc w:val="both"/>
        <w:rPr>
          <w:rFonts w:ascii="Times New Roman" w:hAnsi="Times New Roman" w:cs="Times New Roman"/>
        </w:rPr>
      </w:pPr>
      <w:r w:rsidRPr="005B2824">
        <w:rPr>
          <w:rFonts w:ascii="Times New Roman" w:hAnsi="Times New Roman" w:cs="Times New Roman"/>
        </w:rPr>
        <w:t>the bond's cumulative return during the </w:t>
      </w:r>
      <w:r w:rsidRPr="005B2824">
        <w:rPr>
          <w:rFonts w:ascii="Times New Roman" w:hAnsi="Times New Roman" w:cs="Times New Roman"/>
          <w:i/>
          <w:iCs/>
        </w:rPr>
        <w:t>k</w:t>
      </w:r>
      <w:r w:rsidRPr="005B2824">
        <w:rPr>
          <w:rFonts w:ascii="Times New Roman" w:hAnsi="Times New Roman" w:cs="Times New Roman"/>
        </w:rPr>
        <w:t> years following date </w:t>
      </w:r>
      <w:r w:rsidRPr="005B2824">
        <w:rPr>
          <w:rFonts w:ascii="Times New Roman" w:hAnsi="Times New Roman" w:cs="Times New Roman"/>
          <w:i/>
          <w:iCs/>
        </w:rPr>
        <w:t>t</w:t>
      </w:r>
      <w:r w:rsidRPr="005B2824">
        <w:rPr>
          <w:rFonts w:ascii="Times New Roman" w:hAnsi="Times New Roman" w:cs="Times New Roman"/>
        </w:rPr>
        <w:t>.</w:t>
      </w:r>
    </w:p>
    <w:p w:rsidR="00502933" w:rsidRPr="005B2824" w:rsidRDefault="00502933" w:rsidP="00C9494C">
      <w:pPr>
        <w:jc w:val="both"/>
        <w:rPr>
          <w:rFonts w:ascii="Times New Roman" w:hAnsi="Times New Roman" w:cs="Times New Roman"/>
        </w:rPr>
      </w:pPr>
      <w:r w:rsidRPr="005B2824">
        <w:rPr>
          <w:rFonts w:ascii="Times New Roman" w:hAnsi="Times New Roman" w:cs="Times New Roman"/>
        </w:rPr>
        <w:br/>
      </w:r>
      <w:r w:rsidR="001313B9" w:rsidRPr="005B2824">
        <w:rPr>
          <w:rFonts w:ascii="Times New Roman" w:hAnsi="Times New Roman" w:cs="Times New Roman"/>
        </w:rPr>
        <w:t>（</w:t>
      </w:r>
      <w:r w:rsidR="001313B9" w:rsidRPr="005B2824">
        <w:rPr>
          <w:rFonts w:ascii="Times New Roman" w:hAnsi="Times New Roman" w:cs="Times New Roman"/>
        </w:rPr>
        <w:t>2</w:t>
      </w:r>
      <w:r w:rsidR="001313B9" w:rsidRPr="005B2824">
        <w:rPr>
          <w:rFonts w:ascii="Times New Roman" w:hAnsi="Times New Roman" w:cs="Times New Roman"/>
        </w:rPr>
        <w:t>）</w:t>
      </w:r>
      <w:r w:rsidR="007C720D" w:rsidRPr="005B2824">
        <w:rPr>
          <w:rFonts w:ascii="Times New Roman" w:hAnsi="Times New Roman" w:cs="Times New Roman"/>
        </w:rPr>
        <w:t>原因</w:t>
      </w:r>
    </w:p>
    <w:p w:rsidR="007C720D" w:rsidRPr="005B2824" w:rsidRDefault="007C720D" w:rsidP="00C9494C">
      <w:pPr>
        <w:jc w:val="both"/>
        <w:rPr>
          <w:rFonts w:ascii="Times New Roman" w:hAnsi="Times New Roman" w:cs="Times New Roman"/>
        </w:rPr>
      </w:pPr>
      <w:r w:rsidRPr="005B2824">
        <w:rPr>
          <w:rFonts w:ascii="Times New Roman" w:hAnsi="Times New Roman" w:cs="Times New Roman"/>
          <w:color w:val="2A2A2A"/>
          <w:sz w:val="23"/>
          <w:szCs w:val="23"/>
          <w:shd w:val="clear" w:color="auto" w:fill="FFFFFF"/>
        </w:rPr>
        <w:t>The supply and maturity structure of government debt play no role in standard term-structure theories. Yet, their effects on bond yields and expected returns are the subject of numerous policy debates, ranging from debt management by treasury departments to quantitative easing by central banks. Given the importance of these debates, it is surprising how little empirical evidence there is correlating supply and maturity structure to bond yields and returns in long time series. </w:t>
      </w:r>
    </w:p>
    <w:p w:rsidR="007C720D" w:rsidRPr="005B2824" w:rsidRDefault="007C720D" w:rsidP="00C9494C">
      <w:pPr>
        <w:jc w:val="both"/>
        <w:rPr>
          <w:rFonts w:ascii="Times New Roman" w:hAnsi="Times New Roman" w:cs="Times New Roman"/>
        </w:rPr>
      </w:pPr>
    </w:p>
    <w:p w:rsidR="001313B9" w:rsidRPr="005B2824" w:rsidRDefault="001313B9" w:rsidP="00C9494C">
      <w:pPr>
        <w:jc w:val="both"/>
        <w:rPr>
          <w:rFonts w:ascii="Times New Roman" w:hAnsi="Times New Roman" w:cs="Times New Roman"/>
        </w:rPr>
      </w:pPr>
    </w:p>
    <w:p w:rsidR="00A36BFF" w:rsidRPr="005B2824" w:rsidRDefault="005B2824" w:rsidP="00C9494C">
      <w:pPr>
        <w:jc w:val="both"/>
        <w:rPr>
          <w:rFonts w:ascii="Times New Roman" w:hAnsi="Times New Roman" w:cs="Times New Roman"/>
          <w:b/>
          <w:bCs/>
        </w:rPr>
      </w:pPr>
      <w:r w:rsidRPr="005B2824">
        <w:rPr>
          <w:rFonts w:ascii="Times New Roman" w:hAnsi="Times New Roman" w:cs="Times New Roman"/>
          <w:b/>
          <w:bCs/>
        </w:rPr>
        <w:t>二</w:t>
      </w:r>
      <w:r w:rsidR="001313B9" w:rsidRPr="005B2824">
        <w:rPr>
          <w:rFonts w:ascii="Times New Roman" w:hAnsi="Times New Roman" w:cs="Times New Roman"/>
          <w:b/>
          <w:bCs/>
        </w:rPr>
        <w:t>、</w:t>
      </w:r>
      <w:r w:rsidRPr="005B2824">
        <w:rPr>
          <w:rFonts w:ascii="Times New Roman" w:hAnsi="Times New Roman" w:cs="Times New Roman"/>
          <w:b/>
          <w:bCs/>
        </w:rPr>
        <w:t>variable rare disasters</w:t>
      </w:r>
      <w:r w:rsidRPr="005B2824">
        <w:rPr>
          <w:rFonts w:ascii="Times New Roman" w:hAnsi="Times New Roman" w:cs="Times New Roman"/>
          <w:b/>
          <w:bCs/>
        </w:rPr>
        <w:t>：</w:t>
      </w:r>
      <w:r w:rsidRPr="005B2824">
        <w:rPr>
          <w:rFonts w:ascii="Times New Roman" w:hAnsi="Times New Roman" w:cs="Times New Roman"/>
          <w:b/>
          <w:bCs/>
        </w:rPr>
        <w:t>an exactly solved framework for ten puzzles in macro-finance</w:t>
      </w:r>
    </w:p>
    <w:p w:rsidR="005B2824" w:rsidRPr="005B2824" w:rsidRDefault="005B2824" w:rsidP="00C9494C">
      <w:pPr>
        <w:jc w:val="both"/>
        <w:rPr>
          <w:rFonts w:ascii="Times New Roman" w:hAnsi="Times New Roman" w:cs="Times New Roman"/>
          <w:b/>
          <w:bCs/>
        </w:rPr>
      </w:pPr>
    </w:p>
    <w:p w:rsidR="00B95BCC" w:rsidRPr="005B2824" w:rsidRDefault="00A36BFF" w:rsidP="00C9494C">
      <w:pPr>
        <w:jc w:val="both"/>
        <w:rPr>
          <w:rFonts w:ascii="Times New Roman" w:hAnsi="Times New Roman" w:cs="Times New Roman"/>
        </w:rPr>
      </w:pPr>
      <w:r w:rsidRPr="005B2824">
        <w:rPr>
          <w:rFonts w:ascii="Times New Roman" w:hAnsi="Times New Roman" w:cs="Times New Roman"/>
        </w:rPr>
        <w:t>（</w:t>
      </w:r>
      <w:r w:rsidRPr="005B2824">
        <w:rPr>
          <w:rFonts w:ascii="Times New Roman" w:hAnsi="Times New Roman" w:cs="Times New Roman"/>
        </w:rPr>
        <w:t>1</w:t>
      </w:r>
      <w:r w:rsidRPr="005B2824">
        <w:rPr>
          <w:rFonts w:ascii="Times New Roman" w:hAnsi="Times New Roman" w:cs="Times New Roman"/>
        </w:rPr>
        <w:t>）因子：</w:t>
      </w:r>
      <w:r w:rsidR="001313B9" w:rsidRPr="005B2824">
        <w:rPr>
          <w:rFonts w:ascii="Times New Roman" w:hAnsi="Times New Roman" w:cs="Times New Roman"/>
        </w:rPr>
        <w:t>rare large disaster</w:t>
      </w:r>
      <w:r w:rsidR="005031BB" w:rsidRPr="005B2824">
        <w:rPr>
          <w:rFonts w:ascii="Times New Roman" w:hAnsi="Times New Roman" w:cs="Times New Roman"/>
        </w:rPr>
        <w:t>s</w:t>
      </w:r>
    </w:p>
    <w:p w:rsidR="00A36BFF" w:rsidRPr="005B2824" w:rsidRDefault="00A36BFF" w:rsidP="00C9494C">
      <w:pPr>
        <w:jc w:val="both"/>
        <w:rPr>
          <w:rFonts w:ascii="Times New Roman" w:hAnsi="Times New Roman" w:cs="Times New Roman"/>
        </w:rPr>
      </w:pPr>
      <w:r w:rsidRPr="005B2824">
        <w:rPr>
          <w:rFonts w:ascii="Times New Roman" w:hAnsi="Times New Roman" w:cs="Times New Roman"/>
        </w:rPr>
        <w:t>文献来源：</w:t>
      </w:r>
      <w:r w:rsidRPr="005B2824">
        <w:rPr>
          <w:rFonts w:ascii="Times New Roman" w:hAnsi="Times New Roman" w:cs="Times New Roman"/>
        </w:rPr>
        <w:t>The Quarterly Journal of Economics</w:t>
      </w:r>
    </w:p>
    <w:p w:rsidR="00B95BCC" w:rsidRPr="005B2824" w:rsidRDefault="0044737C" w:rsidP="00C9494C">
      <w:pPr>
        <w:jc w:val="both"/>
        <w:rPr>
          <w:rFonts w:ascii="Times New Roman" w:hAnsi="Times New Roman" w:cs="Times New Roman"/>
          <w:sz w:val="18"/>
          <w:szCs w:val="18"/>
        </w:rPr>
      </w:pPr>
      <w:hyperlink r:id="rId9" w:anchor="metadata_info_tab_contents" w:history="1">
        <w:r w:rsidR="00B95BCC" w:rsidRPr="005B2824">
          <w:rPr>
            <w:rStyle w:val="a4"/>
            <w:rFonts w:ascii="Times New Roman" w:hAnsi="Times New Roman" w:cs="Times New Roman"/>
            <w:sz w:val="18"/>
            <w:szCs w:val="18"/>
          </w:rPr>
          <w:t>https://www.jstor.org/</w:t>
        </w:r>
        <w:r w:rsidR="00B95BCC" w:rsidRPr="005B2824">
          <w:rPr>
            <w:rStyle w:val="a4"/>
            <w:rFonts w:ascii="Times New Roman" w:hAnsi="Times New Roman" w:cs="Times New Roman"/>
            <w:sz w:val="18"/>
            <w:szCs w:val="18"/>
          </w:rPr>
          <w:t>s</w:t>
        </w:r>
        <w:r w:rsidR="00B95BCC" w:rsidRPr="005B2824">
          <w:rPr>
            <w:rStyle w:val="a4"/>
            <w:rFonts w:ascii="Times New Roman" w:hAnsi="Times New Roman" w:cs="Times New Roman"/>
            <w:sz w:val="18"/>
            <w:szCs w:val="18"/>
          </w:rPr>
          <w:t>table/2325199</w:t>
        </w:r>
        <w:r w:rsidR="00B95BCC" w:rsidRPr="005B2824">
          <w:rPr>
            <w:rStyle w:val="a4"/>
            <w:rFonts w:ascii="Times New Roman" w:hAnsi="Times New Roman" w:cs="Times New Roman"/>
            <w:sz w:val="18"/>
            <w:szCs w:val="18"/>
          </w:rPr>
          <w:t>5</w:t>
        </w:r>
        <w:r w:rsidR="00B95BCC" w:rsidRPr="005B2824">
          <w:rPr>
            <w:rStyle w:val="a4"/>
            <w:rFonts w:ascii="Times New Roman" w:hAnsi="Times New Roman" w:cs="Times New Roman"/>
            <w:sz w:val="18"/>
            <w:szCs w:val="18"/>
          </w:rPr>
          <w:t>?pq-origsite=summon&amp;seq=1#metadata_info_tab_contents</w:t>
        </w:r>
      </w:hyperlink>
    </w:p>
    <w:p w:rsidR="00B95BCC" w:rsidRPr="005B2824" w:rsidRDefault="0044737C" w:rsidP="00C9494C">
      <w:pPr>
        <w:pStyle w:val="a8"/>
        <w:shd w:val="clear" w:color="auto" w:fill="FFFFFF"/>
        <w:jc w:val="both"/>
        <w:rPr>
          <w:rFonts w:ascii="Times New Roman" w:hAnsi="Times New Roman" w:cs="Times New Roman"/>
        </w:rPr>
      </w:pPr>
      <m:oMath>
        <m:sSup>
          <m:sSupPr>
            <m:ctrlPr>
              <w:rPr>
                <w:rFonts w:ascii="Cambria Math" w:hAnsi="Cambria Math" w:cs="Times New Roman"/>
                <w:i/>
                <w:sz w:val="18"/>
                <w:szCs w:val="18"/>
              </w:rPr>
            </m:ctrlPr>
          </m:sSupPr>
          <m:e>
            <m:r>
              <w:rPr>
                <w:rFonts w:ascii="Cambria Math" w:hAnsi="Cambria Math" w:cs="Times New Roman"/>
                <w:sz w:val="18"/>
                <w:szCs w:val="18"/>
              </w:rPr>
              <m:t>I</m:t>
            </m:r>
          </m:e>
          <m:sup>
            <m:r>
              <w:rPr>
                <w:rFonts w:ascii="Cambria Math" w:hAnsi="Cambria Math" w:cs="Times New Roman"/>
                <w:sz w:val="18"/>
                <w:szCs w:val="18"/>
              </w:rPr>
              <m:t>*</m:t>
            </m:r>
          </m:sup>
        </m:sSup>
      </m:oMath>
      <w:r w:rsidR="00A36BFF" w:rsidRPr="005B2824">
        <w:rPr>
          <w:rFonts w:ascii="Times New Roman" w:hAnsi="Times New Roman" w:cs="Times New Roman"/>
          <w:sz w:val="18"/>
          <w:szCs w:val="18"/>
        </w:rPr>
        <w:t xml:space="preserve"> i</w:t>
      </w:r>
      <w:r w:rsidR="00B95BCC" w:rsidRPr="005B2824">
        <w:rPr>
          <w:rFonts w:ascii="Times New Roman" w:hAnsi="Times New Roman" w:cs="Times New Roman"/>
          <w:sz w:val="18"/>
          <w:szCs w:val="18"/>
        </w:rPr>
        <w:t xml:space="preserve">s its </w:t>
      </w:r>
      <w:r w:rsidR="00B95BCC" w:rsidRPr="005B2824">
        <w:rPr>
          <w:rFonts w:ascii="Times New Roman" w:hAnsi="Times New Roman" w:cs="Times New Roman"/>
          <w:sz w:val="20"/>
          <w:szCs w:val="20"/>
        </w:rPr>
        <w:t xml:space="preserve">constant part and It is its variable part. The variable part of </w:t>
      </w:r>
      <w:r w:rsidR="00B95BCC" w:rsidRPr="005B2824">
        <w:rPr>
          <w:rFonts w:ascii="Times New Roman" w:hAnsi="Times New Roman" w:cs="Times New Roman"/>
          <w:sz w:val="18"/>
          <w:szCs w:val="18"/>
        </w:rPr>
        <w:t xml:space="preserve">inflation follows the process: </w:t>
      </w:r>
    </w:p>
    <w:p w:rsidR="005031BB" w:rsidRPr="005B2824" w:rsidRDefault="00B95BCC" w:rsidP="00C9494C">
      <w:pPr>
        <w:jc w:val="both"/>
        <w:rPr>
          <w:rFonts w:ascii="Times New Roman" w:hAnsi="Times New Roman" w:cs="Times New Roman"/>
        </w:rPr>
      </w:pPr>
      <w:r w:rsidRPr="005B2824">
        <w:rPr>
          <w:rFonts w:ascii="Times New Roman" w:hAnsi="Times New Roman" w:cs="Times New Roman"/>
          <w:noProof/>
        </w:rPr>
        <w:drawing>
          <wp:inline distT="0" distB="0" distL="0" distR="0">
            <wp:extent cx="5270500" cy="675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0500" cy="675640"/>
                    </a:xfrm>
                    <a:prstGeom prst="rect">
                      <a:avLst/>
                    </a:prstGeom>
                  </pic:spPr>
                </pic:pic>
              </a:graphicData>
            </a:graphic>
          </wp:inline>
        </w:drawing>
      </w:r>
    </w:p>
    <w:p w:rsidR="00B95BCC" w:rsidRPr="005B2824" w:rsidRDefault="00B95BCC" w:rsidP="00C9494C">
      <w:pPr>
        <w:jc w:val="both"/>
        <w:rPr>
          <w:rFonts w:ascii="Times New Roman" w:hAnsi="Times New Roman" w:cs="Times New Roman"/>
        </w:rPr>
      </w:pPr>
      <w:r w:rsidRPr="005B2824">
        <w:rPr>
          <w:rFonts w:ascii="Times New Roman" w:hAnsi="Times New Roman" w:cs="Times New Roman"/>
          <w:noProof/>
        </w:rPr>
        <w:drawing>
          <wp:inline distT="0" distB="0" distL="0" distR="0" wp14:anchorId="6D983AE5" wp14:editId="04184FB1">
            <wp:extent cx="3187700" cy="698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3187700" cy="698500"/>
                    </a:xfrm>
                    <a:prstGeom prst="rect">
                      <a:avLst/>
                    </a:prstGeom>
                  </pic:spPr>
                </pic:pic>
              </a:graphicData>
            </a:graphic>
          </wp:inline>
        </w:drawing>
      </w:r>
    </w:p>
    <w:p w:rsidR="00B95BCC" w:rsidRPr="005B2824" w:rsidRDefault="0044737C" w:rsidP="00C9494C">
      <w:pPr>
        <w:pStyle w:val="a8"/>
        <w:shd w:val="clear" w:color="auto" w:fill="FFFFFF"/>
        <w:ind w:firstLineChars="50" w:firstLine="90"/>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π</m:t>
            </m:r>
          </m:e>
          <m:sub>
            <m:r>
              <w:rPr>
                <w:rFonts w:ascii="Cambria Math" w:hAnsi="Cambria Math" w:cs="Times New Roman"/>
                <w:sz w:val="18"/>
                <w:szCs w:val="18"/>
              </w:rPr>
              <m:t>t</m:t>
            </m:r>
          </m:sub>
        </m:sSub>
      </m:oMath>
      <w:r w:rsidR="00B95BCC" w:rsidRPr="005B2824">
        <w:rPr>
          <w:rFonts w:ascii="Times New Roman" w:hAnsi="Times New Roman" w:cs="Times New Roman"/>
          <w:sz w:val="18"/>
          <w:szCs w:val="18"/>
        </w:rPr>
        <w:t xml:space="preserve"> is the variable part of the bond risk premium</w:t>
      </w:r>
    </w:p>
    <w:p w:rsidR="00B95BCC" w:rsidRPr="005B2824" w:rsidRDefault="00B95BCC" w:rsidP="00C9494C">
      <w:pPr>
        <w:pStyle w:val="a8"/>
        <w:shd w:val="clear" w:color="auto" w:fill="FFFFFF"/>
        <w:jc w:val="both"/>
        <w:rPr>
          <w:rFonts w:ascii="Times New Roman" w:hAnsi="Times New Roman" w:cs="Times New Roman"/>
          <w:sz w:val="18"/>
          <w:szCs w:val="18"/>
        </w:rPr>
      </w:pPr>
      <w:r w:rsidRPr="005B2824">
        <w:rPr>
          <w:rFonts w:ascii="Times New Roman" w:hAnsi="Times New Roman" w:cs="Times New Roman"/>
          <w:sz w:val="18"/>
          <w:szCs w:val="18"/>
        </w:rPr>
        <w:t xml:space="preserve"> </w:t>
      </w:r>
      <w:r w:rsidRPr="005B2824">
        <w:rPr>
          <w:rFonts w:ascii="Times New Roman" w:hAnsi="Times New Roman" w:cs="Times New Roman"/>
          <w:noProof/>
        </w:rPr>
        <w:drawing>
          <wp:inline distT="0" distB="0" distL="0" distR="0">
            <wp:extent cx="2921000" cy="69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2921000" cy="698500"/>
                    </a:xfrm>
                    <a:prstGeom prst="rect">
                      <a:avLst/>
                    </a:prstGeom>
                  </pic:spPr>
                </pic:pic>
              </a:graphicData>
            </a:graphic>
          </wp:inline>
        </w:drawing>
      </w:r>
    </w:p>
    <w:p w:rsidR="00A36BFF" w:rsidRPr="005B2824" w:rsidRDefault="00A36BFF" w:rsidP="00C9494C">
      <w:pPr>
        <w:pStyle w:val="a8"/>
        <w:shd w:val="clear" w:color="auto" w:fill="FFFFFF"/>
        <w:jc w:val="both"/>
        <w:rPr>
          <w:rFonts w:ascii="Times New Roman" w:hAnsi="Times New Roman" w:cs="Times New Roman"/>
          <w:sz w:val="18"/>
          <w:szCs w:val="18"/>
        </w:rPr>
      </w:pPr>
      <w:r w:rsidRPr="005B2824">
        <w:rPr>
          <w:rFonts w:ascii="Times New Roman" w:hAnsi="Times New Roman" w:cs="Times New Roman"/>
          <w:sz w:val="18"/>
          <w:szCs w:val="18"/>
        </w:rPr>
        <w:lastRenderedPageBreak/>
        <w:t>（</w:t>
      </w:r>
      <w:r w:rsidRPr="005B2824">
        <w:rPr>
          <w:rFonts w:ascii="Times New Roman" w:hAnsi="Times New Roman" w:cs="Times New Roman"/>
          <w:sz w:val="18"/>
          <w:szCs w:val="18"/>
        </w:rPr>
        <w:t>2</w:t>
      </w:r>
      <w:r w:rsidRPr="005B2824">
        <w:rPr>
          <w:rFonts w:ascii="Times New Roman" w:hAnsi="Times New Roman" w:cs="Times New Roman"/>
          <w:sz w:val="18"/>
          <w:szCs w:val="18"/>
        </w:rPr>
        <w:t>）原因</w:t>
      </w:r>
    </w:p>
    <w:p w:rsidR="00A36BFF" w:rsidRPr="005B2824" w:rsidRDefault="00A36BFF" w:rsidP="00C9494C">
      <w:pPr>
        <w:pStyle w:val="a8"/>
        <w:shd w:val="clear" w:color="auto" w:fill="FFFFFF"/>
        <w:jc w:val="both"/>
        <w:rPr>
          <w:rFonts w:ascii="Times New Roman" w:hAnsi="Times New Roman" w:cs="Times New Roman"/>
        </w:rPr>
      </w:pPr>
      <w:r w:rsidRPr="005B2824">
        <w:rPr>
          <w:rFonts w:ascii="Times New Roman" w:hAnsi="Times New Roman" w:cs="Times New Roman"/>
          <w:sz w:val="18"/>
          <w:szCs w:val="18"/>
        </w:rPr>
        <w:t>When a disaster occurs, inflation increases (on average). Since very short-term bills are essentially immune to inflation risk and long-term bonds lose value when inflation is higher, long-term bonds are riskier, so they yield a higher risk premium.</w:t>
      </w:r>
    </w:p>
    <w:p w:rsidR="00B95BCC" w:rsidRPr="005B2824" w:rsidRDefault="005B2824" w:rsidP="00C9494C">
      <w:pPr>
        <w:jc w:val="both"/>
        <w:rPr>
          <w:rFonts w:ascii="Times New Roman" w:hAnsi="Times New Roman" w:cs="Times New Roman"/>
        </w:rPr>
      </w:pPr>
      <w:r>
        <w:rPr>
          <w:rFonts w:ascii="Times New Roman" w:hAnsi="Times New Roman" w:cs="Times New Roman" w:hint="eastAsia"/>
        </w:rPr>
        <w:t>三</w:t>
      </w:r>
      <w:r w:rsidR="006568ED" w:rsidRPr="005B2824">
        <w:rPr>
          <w:rFonts w:ascii="Times New Roman" w:hAnsi="Times New Roman" w:cs="Times New Roman"/>
        </w:rPr>
        <w:t>、</w:t>
      </w:r>
      <w:r w:rsidR="00232F35" w:rsidRPr="005B2824">
        <w:rPr>
          <w:rFonts w:ascii="Times New Roman" w:hAnsi="Times New Roman" w:cs="Times New Roman"/>
        </w:rPr>
        <w:t>The Banking View of Bond Risk Premia</w:t>
      </w:r>
    </w:p>
    <w:p w:rsidR="00232F35" w:rsidRPr="005B2824" w:rsidRDefault="00232F35" w:rsidP="00C9494C">
      <w:pPr>
        <w:jc w:val="both"/>
        <w:rPr>
          <w:rFonts w:ascii="Times New Roman" w:hAnsi="Times New Roman" w:cs="Times New Roman"/>
        </w:rPr>
      </w:pPr>
      <w:r w:rsidRPr="005B2824">
        <w:rPr>
          <w:rFonts w:ascii="Times New Roman" w:hAnsi="Times New Roman" w:cs="Times New Roman"/>
        </w:rPr>
        <w:t>文献来源：</w:t>
      </w:r>
      <w:r w:rsidRPr="005B2824">
        <w:rPr>
          <w:rFonts w:ascii="Times New Roman" w:hAnsi="Times New Roman" w:cs="Times New Roman"/>
        </w:rPr>
        <w:t>the journal of finance</w:t>
      </w:r>
    </w:p>
    <w:p w:rsidR="006568ED" w:rsidRPr="005B2824" w:rsidRDefault="0044737C" w:rsidP="00C9494C">
      <w:pPr>
        <w:jc w:val="both"/>
        <w:rPr>
          <w:rFonts w:ascii="Times New Roman" w:hAnsi="Times New Roman" w:cs="Times New Roman"/>
        </w:rPr>
      </w:pPr>
      <w:hyperlink r:id="rId13" w:history="1">
        <w:r w:rsidR="006568ED" w:rsidRPr="005B2824">
          <w:rPr>
            <w:rStyle w:val="a4"/>
            <w:rFonts w:ascii="Times New Roman" w:hAnsi="Times New Roman" w:cs="Times New Roman"/>
          </w:rPr>
          <w:t>https://onlinel</w:t>
        </w:r>
        <w:r w:rsidR="006568ED" w:rsidRPr="005B2824">
          <w:rPr>
            <w:rStyle w:val="a4"/>
            <w:rFonts w:ascii="Times New Roman" w:hAnsi="Times New Roman" w:cs="Times New Roman"/>
          </w:rPr>
          <w:t>i</w:t>
        </w:r>
        <w:r w:rsidR="006568ED" w:rsidRPr="005B2824">
          <w:rPr>
            <w:rStyle w:val="a4"/>
            <w:rFonts w:ascii="Times New Roman" w:hAnsi="Times New Roman" w:cs="Times New Roman"/>
          </w:rPr>
          <w:t>brary.wiley.com/doi/full/10.1111/</w:t>
        </w:r>
        <w:r w:rsidR="006568ED" w:rsidRPr="005B2824">
          <w:rPr>
            <w:rStyle w:val="a4"/>
            <w:rFonts w:ascii="Times New Roman" w:hAnsi="Times New Roman" w:cs="Times New Roman"/>
          </w:rPr>
          <w:t>j</w:t>
        </w:r>
        <w:r w:rsidR="006568ED" w:rsidRPr="005B2824">
          <w:rPr>
            <w:rStyle w:val="a4"/>
            <w:rFonts w:ascii="Times New Roman" w:hAnsi="Times New Roman" w:cs="Times New Roman"/>
          </w:rPr>
          <w:t>ofi.</w:t>
        </w:r>
        <w:r w:rsidR="006568ED" w:rsidRPr="005B2824">
          <w:rPr>
            <w:rStyle w:val="a4"/>
            <w:rFonts w:ascii="Times New Roman" w:hAnsi="Times New Roman" w:cs="Times New Roman"/>
          </w:rPr>
          <w:t>1</w:t>
        </w:r>
        <w:r w:rsidR="006568ED" w:rsidRPr="005B2824">
          <w:rPr>
            <w:rStyle w:val="a4"/>
            <w:rFonts w:ascii="Times New Roman" w:hAnsi="Times New Roman" w:cs="Times New Roman"/>
          </w:rPr>
          <w:t>2949</w:t>
        </w:r>
      </w:hyperlink>
    </w:p>
    <w:p w:rsidR="006568ED" w:rsidRPr="005B2824" w:rsidRDefault="00232F35" w:rsidP="00C9494C">
      <w:pPr>
        <w:jc w:val="both"/>
        <w:rPr>
          <w:rFonts w:ascii="Times New Roman" w:hAnsi="Times New Roman" w:cs="Times New Roman"/>
        </w:rPr>
      </w:pPr>
      <w:r w:rsidRPr="005B2824">
        <w:rPr>
          <w:rFonts w:ascii="Times New Roman" w:hAnsi="Times New Roman" w:cs="Times New Roman"/>
        </w:rPr>
        <w:t>（</w:t>
      </w:r>
      <w:r w:rsidRPr="005B2824">
        <w:rPr>
          <w:rFonts w:ascii="Times New Roman" w:hAnsi="Times New Roman" w:cs="Times New Roman"/>
        </w:rPr>
        <w:t>1</w:t>
      </w:r>
      <w:r w:rsidRPr="005B2824">
        <w:rPr>
          <w:rFonts w:ascii="Times New Roman" w:hAnsi="Times New Roman" w:cs="Times New Roman"/>
        </w:rPr>
        <w:t>）因子</w:t>
      </w:r>
      <w:r w:rsidR="005B2824" w:rsidRPr="005B2824">
        <w:rPr>
          <w:rFonts w:ascii="Times New Roman" w:hAnsi="Times New Roman" w:cs="Times New Roman"/>
        </w:rPr>
        <w:t>：</w:t>
      </w:r>
      <w:r w:rsidR="005B2824" w:rsidRPr="005B2824">
        <w:rPr>
          <w:rFonts w:ascii="Times New Roman" w:hAnsi="Times New Roman" w:cs="Times New Roman"/>
        </w:rPr>
        <w:t>the average bank exposure to interest rate risk</w:t>
      </w:r>
    </w:p>
    <w:p w:rsidR="00C9494C" w:rsidRPr="005B2824" w:rsidRDefault="00C9494C" w:rsidP="00C9494C">
      <w:pPr>
        <w:jc w:val="both"/>
        <w:rPr>
          <w:rFonts w:ascii="Times New Roman" w:hAnsi="Times New Roman" w:cs="Times New Roman"/>
        </w:rPr>
      </w:pPr>
      <w:r w:rsidRPr="005B2824">
        <w:rPr>
          <w:rFonts w:ascii="Times New Roman" w:hAnsi="Times New Roman" w:cs="Times New Roman"/>
        </w:rPr>
        <w:t>We start by constructing a measure of the average bank exposure to interest rate risk. At the bank level, we use the income gap as our measure of interest rate risk</w:t>
      </w:r>
      <w:r w:rsidRPr="005B2824">
        <w:rPr>
          <w:rFonts w:ascii="Times New Roman" w:hAnsi="Times New Roman" w:cs="Times New Roman"/>
        </w:rPr>
        <w:t xml:space="preserve"> </w:t>
      </w:r>
      <w:r w:rsidRPr="005B2824">
        <w:rPr>
          <w:rFonts w:ascii="Times New Roman" w:hAnsi="Times New Roman" w:cs="Times New Roman"/>
        </w:rPr>
        <w:t>exposure.</w:t>
      </w:r>
    </w:p>
    <w:p w:rsidR="00C9494C" w:rsidRPr="005B2824" w:rsidRDefault="00C9494C" w:rsidP="00C9494C">
      <w:pPr>
        <w:jc w:val="both"/>
        <w:rPr>
          <w:rFonts w:ascii="Times New Roman" w:hAnsi="Times New Roman" w:cs="Times New Roman"/>
        </w:rPr>
      </w:pPr>
      <w:r w:rsidRPr="005B2824">
        <w:rPr>
          <w:rFonts w:ascii="Times New Roman" w:hAnsi="Times New Roman" w:cs="Times New Roman"/>
        </w:rPr>
        <w:t>We use the average income gap across banks with more than $1bn of total assets as our measure of financial intermediaries' interest rate risk exposure.</w:t>
      </w:r>
    </w:p>
    <w:p w:rsidR="00232F35" w:rsidRPr="005B2824" w:rsidRDefault="00232F35" w:rsidP="00232F35">
      <w:pPr>
        <w:jc w:val="both"/>
        <w:rPr>
          <w:rFonts w:ascii="Times New Roman" w:hAnsi="Times New Roman" w:cs="Times New Roman"/>
        </w:rPr>
      </w:pPr>
    </w:p>
    <w:p w:rsidR="00232F35" w:rsidRPr="00232F35" w:rsidRDefault="00232F35" w:rsidP="00232F35">
      <w:pPr>
        <w:jc w:val="both"/>
        <w:rPr>
          <w:rFonts w:ascii="Times New Roman" w:hAnsi="Times New Roman" w:cs="Times New Roman"/>
        </w:rPr>
      </w:pPr>
      <w:r w:rsidRPr="00232F35">
        <w:rPr>
          <w:rFonts w:ascii="Times New Roman" w:hAnsi="Times New Roman" w:cs="Times New Roman"/>
        </w:rPr>
        <w:t>we show that the relevant measure of banks' exposure, </w:t>
      </w:r>
      <w:r w:rsidRPr="00232F35">
        <w:rPr>
          <w:rFonts w:ascii="Cambria Math" w:hAnsi="Cambria Math" w:cs="Cambria Math"/>
        </w:rPr>
        <w:t>𝑔𝑡</w:t>
      </w:r>
      <w:r w:rsidRPr="00232F35">
        <w:rPr>
          <w:rFonts w:ascii="Times New Roman" w:hAnsi="Times New Roman" w:cs="Times New Roman"/>
        </w:rPr>
        <w:t>, can be constructed from our basic income gap measure as</w:t>
      </w:r>
    </w:p>
    <w:p w:rsidR="00232F35" w:rsidRPr="005B2824" w:rsidRDefault="00232F35" w:rsidP="00232F35">
      <w:pPr>
        <w:jc w:val="both"/>
        <w:rPr>
          <w:rFonts w:ascii="Times New Roman" w:hAnsi="Times New Roman" w:cs="Times New Roman"/>
        </w:rPr>
      </w:pPr>
    </w:p>
    <w:p w:rsidR="00232F35" w:rsidRPr="005B2824" w:rsidRDefault="00232F35" w:rsidP="00C9494C">
      <w:pPr>
        <w:jc w:val="both"/>
        <w:rPr>
          <w:rFonts w:ascii="Times New Roman" w:hAnsi="Times New Roman" w:cs="Times New Roman" w:hint="eastAsia"/>
        </w:rPr>
      </w:pPr>
      <w:r w:rsidRPr="005B2824">
        <w:rPr>
          <w:rFonts w:ascii="Times New Roman" w:hAnsi="Times New Roman" w:cs="Times New Roman"/>
          <w:noProof/>
        </w:rPr>
        <w:drawing>
          <wp:inline distT="0" distB="0" distL="0" distR="0" wp14:anchorId="7ADFC8EF" wp14:editId="762C84A3">
            <wp:extent cx="3632200" cy="698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3632200" cy="698500"/>
                    </a:xfrm>
                    <a:prstGeom prst="rect">
                      <a:avLst/>
                    </a:prstGeom>
                  </pic:spPr>
                </pic:pic>
              </a:graphicData>
            </a:graphic>
          </wp:inline>
        </w:drawing>
      </w:r>
      <w:r w:rsidR="00EE3ADB">
        <w:rPr>
          <w:rFonts w:ascii="Times New Roman" w:hAnsi="Times New Roman" w:cs="Times New Roman"/>
          <w:noProof/>
        </w:rPr>
        <w:drawing>
          <wp:inline distT="0" distB="0" distL="0" distR="0">
            <wp:extent cx="5270500" cy="79819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5270500" cy="798195"/>
                    </a:xfrm>
                    <a:prstGeom prst="rect">
                      <a:avLst/>
                    </a:prstGeom>
                  </pic:spPr>
                </pic:pic>
              </a:graphicData>
            </a:graphic>
          </wp:inline>
        </w:drawing>
      </w:r>
    </w:p>
    <w:p w:rsidR="00232F35" w:rsidRPr="005B2824" w:rsidRDefault="00232F35" w:rsidP="00232F35">
      <w:pPr>
        <w:jc w:val="both"/>
        <w:rPr>
          <w:rFonts w:ascii="Times New Roman" w:hAnsi="Times New Roman" w:cs="Times New Roman"/>
        </w:rPr>
      </w:pPr>
      <w:r w:rsidRPr="005B2824">
        <w:rPr>
          <w:rFonts w:ascii="Times New Roman" w:hAnsi="Times New Roman" w:cs="Times New Roman"/>
        </w:rPr>
        <w:t>（</w:t>
      </w:r>
      <w:r w:rsidRPr="005B2824">
        <w:rPr>
          <w:rFonts w:ascii="Times New Roman" w:hAnsi="Times New Roman" w:cs="Times New Roman"/>
        </w:rPr>
        <w:t>2</w:t>
      </w:r>
      <w:r w:rsidRPr="005B2824">
        <w:rPr>
          <w:rFonts w:ascii="Times New Roman" w:hAnsi="Times New Roman" w:cs="Times New Roman"/>
        </w:rPr>
        <w:t>）</w:t>
      </w:r>
      <w:r w:rsidR="00C9494C" w:rsidRPr="005B2824">
        <w:rPr>
          <w:rFonts w:ascii="Times New Roman" w:hAnsi="Times New Roman" w:cs="Times New Roman"/>
        </w:rPr>
        <w:t>原因</w:t>
      </w:r>
    </w:p>
    <w:p w:rsidR="00C9494C" w:rsidRPr="005B2824" w:rsidRDefault="00C9494C" w:rsidP="00C9494C">
      <w:pPr>
        <w:jc w:val="both"/>
        <w:rPr>
          <w:rFonts w:ascii="Times New Roman" w:hAnsi="Times New Roman" w:cs="Times New Roman"/>
        </w:rPr>
      </w:pPr>
    </w:p>
    <w:p w:rsidR="00232F35" w:rsidRPr="005B2824" w:rsidRDefault="00C9494C" w:rsidP="00C9494C">
      <w:pPr>
        <w:jc w:val="both"/>
        <w:rPr>
          <w:rFonts w:ascii="Times New Roman" w:hAnsi="Times New Roman" w:cs="Times New Roman"/>
        </w:rPr>
      </w:pPr>
      <w:r w:rsidRPr="005B2824">
        <w:rPr>
          <w:rFonts w:ascii="Times New Roman" w:hAnsi="Times New Roman" w:cs="Times New Roman"/>
        </w:rPr>
        <w:t>Banks are large sophisticated intermediaries in the market for interest rate risk, but are absent from standard studies of the yield curve.1 In this paper, we show that banks' balance sheet exposure to fluctuations in interest rates strongly forecasts excess Treasury bond returns.</w:t>
      </w:r>
    </w:p>
    <w:p w:rsidR="00232F35" w:rsidRPr="005B2824" w:rsidRDefault="00232F35" w:rsidP="00C9494C">
      <w:pPr>
        <w:jc w:val="both"/>
        <w:rPr>
          <w:rFonts w:ascii="Times New Roman" w:hAnsi="Times New Roman" w:cs="Times New Roman"/>
        </w:rPr>
      </w:pPr>
    </w:p>
    <w:p w:rsidR="00EE3ADB" w:rsidRDefault="00EE3ADB" w:rsidP="00C9494C">
      <w:pPr>
        <w:jc w:val="both"/>
        <w:rPr>
          <w:rFonts w:ascii="Times New Roman" w:hAnsi="Times New Roman" w:cs="Times New Roman"/>
        </w:rPr>
      </w:pPr>
      <w:r>
        <w:rPr>
          <w:rFonts w:ascii="Times New Roman" w:hAnsi="Times New Roman" w:cs="Times New Roman" w:hint="eastAsia"/>
        </w:rPr>
        <w:t>数据来源：</w:t>
      </w:r>
    </w:p>
    <w:p w:rsidR="00C9494C" w:rsidRDefault="00EE3ADB" w:rsidP="00C9494C">
      <w:pPr>
        <w:jc w:val="both"/>
        <w:rPr>
          <w:rFonts w:ascii="Times New Roman" w:hAnsi="Times New Roman" w:cs="Times New Roman"/>
        </w:rPr>
      </w:pPr>
      <w:hyperlink r:id="rId16" w:history="1">
        <w:r w:rsidRPr="00A2653A">
          <w:rPr>
            <w:rStyle w:val="a4"/>
            <w:rFonts w:ascii="Times New Roman" w:hAnsi="Times New Roman" w:cs="Times New Roman"/>
          </w:rPr>
          <w:t>https://www.federalreserve.gov/econresdata/researchdata/feds200628_1.html</w:t>
        </w:r>
      </w:hyperlink>
    </w:p>
    <w:p w:rsidR="00EE3ADB" w:rsidRPr="00EE3ADB" w:rsidRDefault="00EE3ADB" w:rsidP="00C9494C">
      <w:pPr>
        <w:jc w:val="both"/>
        <w:rPr>
          <w:rFonts w:ascii="Times New Roman" w:hAnsi="Times New Roman" w:cs="Times New Roman" w:hint="eastAsia"/>
        </w:rPr>
      </w:pPr>
    </w:p>
    <w:sectPr w:rsidR="00EE3ADB" w:rsidRPr="00EE3ADB" w:rsidSect="00752BC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7092D"/>
    <w:multiLevelType w:val="hybridMultilevel"/>
    <w:tmpl w:val="9348D230"/>
    <w:lvl w:ilvl="0" w:tplc="5E2E65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AC2836"/>
    <w:multiLevelType w:val="hybridMultilevel"/>
    <w:tmpl w:val="736EC5B4"/>
    <w:lvl w:ilvl="0" w:tplc="2F10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237AF0"/>
    <w:multiLevelType w:val="hybridMultilevel"/>
    <w:tmpl w:val="CAD84A14"/>
    <w:lvl w:ilvl="0" w:tplc="DCF2E3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6A050E"/>
    <w:multiLevelType w:val="hybridMultilevel"/>
    <w:tmpl w:val="77B84612"/>
    <w:lvl w:ilvl="0" w:tplc="2BD86D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D017F7"/>
    <w:multiLevelType w:val="hybridMultilevel"/>
    <w:tmpl w:val="D62C05AE"/>
    <w:lvl w:ilvl="0" w:tplc="43A2128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234263"/>
    <w:multiLevelType w:val="hybridMultilevel"/>
    <w:tmpl w:val="F3F6C348"/>
    <w:lvl w:ilvl="0" w:tplc="559C9D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33"/>
    <w:rsid w:val="00030219"/>
    <w:rsid w:val="000F76D1"/>
    <w:rsid w:val="001313B9"/>
    <w:rsid w:val="00232F35"/>
    <w:rsid w:val="0044737C"/>
    <w:rsid w:val="004C5C23"/>
    <w:rsid w:val="00502933"/>
    <w:rsid w:val="005031BB"/>
    <w:rsid w:val="005B2824"/>
    <w:rsid w:val="006568ED"/>
    <w:rsid w:val="00752BCA"/>
    <w:rsid w:val="007C720D"/>
    <w:rsid w:val="00A36BFF"/>
    <w:rsid w:val="00B95BCC"/>
    <w:rsid w:val="00C12A16"/>
    <w:rsid w:val="00C9494C"/>
    <w:rsid w:val="00EE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FCAF6"/>
  <w15:chartTrackingRefBased/>
  <w15:docId w15:val="{DE1F78EC-F3A0-DF4E-9ED8-FCB82196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16"/>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933"/>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502933"/>
    <w:rPr>
      <w:color w:val="0000FF"/>
      <w:u w:val="single"/>
    </w:rPr>
  </w:style>
  <w:style w:type="character" w:styleId="a5">
    <w:name w:val="FollowedHyperlink"/>
    <w:basedOn w:val="a0"/>
    <w:uiPriority w:val="99"/>
    <w:semiHidden/>
    <w:unhideWhenUsed/>
    <w:rsid w:val="00502933"/>
    <w:rPr>
      <w:color w:val="954F72" w:themeColor="followedHyperlink"/>
      <w:u w:val="single"/>
    </w:rPr>
  </w:style>
  <w:style w:type="character" w:customStyle="1" w:styleId="apple-converted-space">
    <w:name w:val="apple-converted-space"/>
    <w:basedOn w:val="a0"/>
    <w:rsid w:val="00502933"/>
  </w:style>
  <w:style w:type="character" w:styleId="a6">
    <w:name w:val="Placeholder Text"/>
    <w:basedOn w:val="a0"/>
    <w:uiPriority w:val="99"/>
    <w:semiHidden/>
    <w:rsid w:val="007C720D"/>
    <w:rPr>
      <w:color w:val="808080"/>
    </w:rPr>
  </w:style>
  <w:style w:type="character" w:styleId="a7">
    <w:name w:val="Unresolved Mention"/>
    <w:basedOn w:val="a0"/>
    <w:uiPriority w:val="99"/>
    <w:semiHidden/>
    <w:unhideWhenUsed/>
    <w:rsid w:val="001313B9"/>
    <w:rPr>
      <w:color w:val="605E5C"/>
      <w:shd w:val="clear" w:color="auto" w:fill="E1DFDD"/>
    </w:rPr>
  </w:style>
  <w:style w:type="paragraph" w:styleId="a8">
    <w:name w:val="Normal (Web)"/>
    <w:basedOn w:val="a"/>
    <w:uiPriority w:val="99"/>
    <w:unhideWhenUsed/>
    <w:rsid w:val="00B95B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915">
      <w:bodyDiv w:val="1"/>
      <w:marLeft w:val="0"/>
      <w:marRight w:val="0"/>
      <w:marTop w:val="0"/>
      <w:marBottom w:val="0"/>
      <w:divBdr>
        <w:top w:val="none" w:sz="0" w:space="0" w:color="auto"/>
        <w:left w:val="none" w:sz="0" w:space="0" w:color="auto"/>
        <w:bottom w:val="none" w:sz="0" w:space="0" w:color="auto"/>
        <w:right w:val="none" w:sz="0" w:space="0" w:color="auto"/>
      </w:divBdr>
    </w:div>
    <w:div w:id="77793923">
      <w:bodyDiv w:val="1"/>
      <w:marLeft w:val="0"/>
      <w:marRight w:val="0"/>
      <w:marTop w:val="0"/>
      <w:marBottom w:val="0"/>
      <w:divBdr>
        <w:top w:val="none" w:sz="0" w:space="0" w:color="auto"/>
        <w:left w:val="none" w:sz="0" w:space="0" w:color="auto"/>
        <w:bottom w:val="none" w:sz="0" w:space="0" w:color="auto"/>
        <w:right w:val="none" w:sz="0" w:space="0" w:color="auto"/>
      </w:divBdr>
    </w:div>
    <w:div w:id="79646775">
      <w:bodyDiv w:val="1"/>
      <w:marLeft w:val="0"/>
      <w:marRight w:val="0"/>
      <w:marTop w:val="0"/>
      <w:marBottom w:val="0"/>
      <w:divBdr>
        <w:top w:val="none" w:sz="0" w:space="0" w:color="auto"/>
        <w:left w:val="none" w:sz="0" w:space="0" w:color="auto"/>
        <w:bottom w:val="none" w:sz="0" w:space="0" w:color="auto"/>
        <w:right w:val="none" w:sz="0" w:space="0" w:color="auto"/>
      </w:divBdr>
      <w:divsChild>
        <w:div w:id="167017714">
          <w:marLeft w:val="0"/>
          <w:marRight w:val="0"/>
          <w:marTop w:val="0"/>
          <w:marBottom w:val="0"/>
          <w:divBdr>
            <w:top w:val="none" w:sz="0" w:space="0" w:color="auto"/>
            <w:left w:val="none" w:sz="0" w:space="0" w:color="auto"/>
            <w:bottom w:val="none" w:sz="0" w:space="0" w:color="auto"/>
            <w:right w:val="none" w:sz="0" w:space="0" w:color="auto"/>
          </w:divBdr>
          <w:divsChild>
            <w:div w:id="1890649379">
              <w:marLeft w:val="0"/>
              <w:marRight w:val="0"/>
              <w:marTop w:val="0"/>
              <w:marBottom w:val="0"/>
              <w:divBdr>
                <w:top w:val="none" w:sz="0" w:space="0" w:color="auto"/>
                <w:left w:val="none" w:sz="0" w:space="0" w:color="auto"/>
                <w:bottom w:val="none" w:sz="0" w:space="0" w:color="auto"/>
                <w:right w:val="none" w:sz="0" w:space="0" w:color="auto"/>
              </w:divBdr>
              <w:divsChild>
                <w:div w:id="86390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4212108">
      <w:bodyDiv w:val="1"/>
      <w:marLeft w:val="0"/>
      <w:marRight w:val="0"/>
      <w:marTop w:val="0"/>
      <w:marBottom w:val="0"/>
      <w:divBdr>
        <w:top w:val="none" w:sz="0" w:space="0" w:color="auto"/>
        <w:left w:val="none" w:sz="0" w:space="0" w:color="auto"/>
        <w:bottom w:val="none" w:sz="0" w:space="0" w:color="auto"/>
        <w:right w:val="none" w:sz="0" w:space="0" w:color="auto"/>
      </w:divBdr>
    </w:div>
    <w:div w:id="443307731">
      <w:bodyDiv w:val="1"/>
      <w:marLeft w:val="0"/>
      <w:marRight w:val="0"/>
      <w:marTop w:val="0"/>
      <w:marBottom w:val="0"/>
      <w:divBdr>
        <w:top w:val="none" w:sz="0" w:space="0" w:color="auto"/>
        <w:left w:val="none" w:sz="0" w:space="0" w:color="auto"/>
        <w:bottom w:val="none" w:sz="0" w:space="0" w:color="auto"/>
        <w:right w:val="none" w:sz="0" w:space="0" w:color="auto"/>
      </w:divBdr>
    </w:div>
    <w:div w:id="452746001">
      <w:bodyDiv w:val="1"/>
      <w:marLeft w:val="0"/>
      <w:marRight w:val="0"/>
      <w:marTop w:val="0"/>
      <w:marBottom w:val="0"/>
      <w:divBdr>
        <w:top w:val="none" w:sz="0" w:space="0" w:color="auto"/>
        <w:left w:val="none" w:sz="0" w:space="0" w:color="auto"/>
        <w:bottom w:val="none" w:sz="0" w:space="0" w:color="auto"/>
        <w:right w:val="none" w:sz="0" w:space="0" w:color="auto"/>
      </w:divBdr>
    </w:div>
    <w:div w:id="508833707">
      <w:bodyDiv w:val="1"/>
      <w:marLeft w:val="0"/>
      <w:marRight w:val="0"/>
      <w:marTop w:val="0"/>
      <w:marBottom w:val="0"/>
      <w:divBdr>
        <w:top w:val="none" w:sz="0" w:space="0" w:color="auto"/>
        <w:left w:val="none" w:sz="0" w:space="0" w:color="auto"/>
        <w:bottom w:val="none" w:sz="0" w:space="0" w:color="auto"/>
        <w:right w:val="none" w:sz="0" w:space="0" w:color="auto"/>
      </w:divBdr>
    </w:div>
    <w:div w:id="519899146">
      <w:bodyDiv w:val="1"/>
      <w:marLeft w:val="0"/>
      <w:marRight w:val="0"/>
      <w:marTop w:val="0"/>
      <w:marBottom w:val="0"/>
      <w:divBdr>
        <w:top w:val="none" w:sz="0" w:space="0" w:color="auto"/>
        <w:left w:val="none" w:sz="0" w:space="0" w:color="auto"/>
        <w:bottom w:val="none" w:sz="0" w:space="0" w:color="auto"/>
        <w:right w:val="none" w:sz="0" w:space="0" w:color="auto"/>
      </w:divBdr>
      <w:divsChild>
        <w:div w:id="612981904">
          <w:marLeft w:val="0"/>
          <w:marRight w:val="0"/>
          <w:marTop w:val="0"/>
          <w:marBottom w:val="0"/>
          <w:divBdr>
            <w:top w:val="none" w:sz="0" w:space="0" w:color="auto"/>
            <w:left w:val="none" w:sz="0" w:space="0" w:color="auto"/>
            <w:bottom w:val="none" w:sz="0" w:space="0" w:color="auto"/>
            <w:right w:val="none" w:sz="0" w:space="0" w:color="auto"/>
          </w:divBdr>
          <w:divsChild>
            <w:div w:id="900143016">
              <w:marLeft w:val="0"/>
              <w:marRight w:val="0"/>
              <w:marTop w:val="0"/>
              <w:marBottom w:val="0"/>
              <w:divBdr>
                <w:top w:val="none" w:sz="0" w:space="0" w:color="auto"/>
                <w:left w:val="none" w:sz="0" w:space="0" w:color="auto"/>
                <w:bottom w:val="none" w:sz="0" w:space="0" w:color="auto"/>
                <w:right w:val="none" w:sz="0" w:space="0" w:color="auto"/>
              </w:divBdr>
              <w:divsChild>
                <w:div w:id="210190145">
                  <w:marLeft w:val="0"/>
                  <w:marRight w:val="0"/>
                  <w:marTop w:val="0"/>
                  <w:marBottom w:val="0"/>
                  <w:divBdr>
                    <w:top w:val="none" w:sz="0" w:space="0" w:color="auto"/>
                    <w:left w:val="none" w:sz="0" w:space="0" w:color="auto"/>
                    <w:bottom w:val="none" w:sz="0" w:space="0" w:color="auto"/>
                    <w:right w:val="none" w:sz="0" w:space="0" w:color="auto"/>
                  </w:divBdr>
                  <w:divsChild>
                    <w:div w:id="9125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88033">
      <w:bodyDiv w:val="1"/>
      <w:marLeft w:val="0"/>
      <w:marRight w:val="0"/>
      <w:marTop w:val="0"/>
      <w:marBottom w:val="0"/>
      <w:divBdr>
        <w:top w:val="none" w:sz="0" w:space="0" w:color="auto"/>
        <w:left w:val="none" w:sz="0" w:space="0" w:color="auto"/>
        <w:bottom w:val="none" w:sz="0" w:space="0" w:color="auto"/>
        <w:right w:val="none" w:sz="0" w:space="0" w:color="auto"/>
      </w:divBdr>
      <w:divsChild>
        <w:div w:id="10957598">
          <w:marLeft w:val="0"/>
          <w:marRight w:val="0"/>
          <w:marTop w:val="0"/>
          <w:marBottom w:val="0"/>
          <w:divBdr>
            <w:top w:val="none" w:sz="0" w:space="0" w:color="auto"/>
            <w:left w:val="none" w:sz="0" w:space="0" w:color="auto"/>
            <w:bottom w:val="none" w:sz="0" w:space="0" w:color="auto"/>
            <w:right w:val="none" w:sz="0" w:space="0" w:color="auto"/>
          </w:divBdr>
          <w:divsChild>
            <w:div w:id="1486776037">
              <w:marLeft w:val="0"/>
              <w:marRight w:val="0"/>
              <w:marTop w:val="0"/>
              <w:marBottom w:val="0"/>
              <w:divBdr>
                <w:top w:val="none" w:sz="0" w:space="0" w:color="auto"/>
                <w:left w:val="none" w:sz="0" w:space="0" w:color="auto"/>
                <w:bottom w:val="none" w:sz="0" w:space="0" w:color="auto"/>
                <w:right w:val="none" w:sz="0" w:space="0" w:color="auto"/>
              </w:divBdr>
              <w:divsChild>
                <w:div w:id="21427713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4023493">
      <w:bodyDiv w:val="1"/>
      <w:marLeft w:val="0"/>
      <w:marRight w:val="0"/>
      <w:marTop w:val="0"/>
      <w:marBottom w:val="0"/>
      <w:divBdr>
        <w:top w:val="none" w:sz="0" w:space="0" w:color="auto"/>
        <w:left w:val="none" w:sz="0" w:space="0" w:color="auto"/>
        <w:bottom w:val="none" w:sz="0" w:space="0" w:color="auto"/>
        <w:right w:val="none" w:sz="0" w:space="0" w:color="auto"/>
      </w:divBdr>
      <w:divsChild>
        <w:div w:id="294407164">
          <w:marLeft w:val="0"/>
          <w:marRight w:val="0"/>
          <w:marTop w:val="0"/>
          <w:marBottom w:val="0"/>
          <w:divBdr>
            <w:top w:val="none" w:sz="0" w:space="0" w:color="auto"/>
            <w:left w:val="none" w:sz="0" w:space="0" w:color="auto"/>
            <w:bottom w:val="none" w:sz="0" w:space="0" w:color="auto"/>
            <w:right w:val="none" w:sz="0" w:space="0" w:color="auto"/>
          </w:divBdr>
          <w:divsChild>
            <w:div w:id="2009365396">
              <w:marLeft w:val="0"/>
              <w:marRight w:val="0"/>
              <w:marTop w:val="0"/>
              <w:marBottom w:val="0"/>
              <w:divBdr>
                <w:top w:val="none" w:sz="0" w:space="0" w:color="auto"/>
                <w:left w:val="none" w:sz="0" w:space="0" w:color="auto"/>
                <w:bottom w:val="none" w:sz="0" w:space="0" w:color="auto"/>
                <w:right w:val="none" w:sz="0" w:space="0" w:color="auto"/>
              </w:divBdr>
              <w:divsChild>
                <w:div w:id="17763634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80529752">
      <w:bodyDiv w:val="1"/>
      <w:marLeft w:val="0"/>
      <w:marRight w:val="0"/>
      <w:marTop w:val="0"/>
      <w:marBottom w:val="0"/>
      <w:divBdr>
        <w:top w:val="none" w:sz="0" w:space="0" w:color="auto"/>
        <w:left w:val="none" w:sz="0" w:space="0" w:color="auto"/>
        <w:bottom w:val="none" w:sz="0" w:space="0" w:color="auto"/>
        <w:right w:val="none" w:sz="0" w:space="0" w:color="auto"/>
      </w:divBdr>
      <w:divsChild>
        <w:div w:id="1075081955">
          <w:marLeft w:val="0"/>
          <w:marRight w:val="0"/>
          <w:marTop w:val="0"/>
          <w:marBottom w:val="0"/>
          <w:divBdr>
            <w:top w:val="none" w:sz="0" w:space="0" w:color="auto"/>
            <w:left w:val="none" w:sz="0" w:space="0" w:color="auto"/>
            <w:bottom w:val="none" w:sz="0" w:space="0" w:color="auto"/>
            <w:right w:val="none" w:sz="0" w:space="0" w:color="auto"/>
          </w:divBdr>
          <w:divsChild>
            <w:div w:id="90399242">
              <w:marLeft w:val="0"/>
              <w:marRight w:val="0"/>
              <w:marTop w:val="0"/>
              <w:marBottom w:val="0"/>
              <w:divBdr>
                <w:top w:val="none" w:sz="0" w:space="0" w:color="auto"/>
                <w:left w:val="none" w:sz="0" w:space="0" w:color="auto"/>
                <w:bottom w:val="none" w:sz="0" w:space="0" w:color="auto"/>
                <w:right w:val="none" w:sz="0" w:space="0" w:color="auto"/>
              </w:divBdr>
              <w:divsChild>
                <w:div w:id="13980159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4763188">
      <w:bodyDiv w:val="1"/>
      <w:marLeft w:val="0"/>
      <w:marRight w:val="0"/>
      <w:marTop w:val="0"/>
      <w:marBottom w:val="0"/>
      <w:divBdr>
        <w:top w:val="none" w:sz="0" w:space="0" w:color="auto"/>
        <w:left w:val="none" w:sz="0" w:space="0" w:color="auto"/>
        <w:bottom w:val="none" w:sz="0" w:space="0" w:color="auto"/>
        <w:right w:val="none" w:sz="0" w:space="0" w:color="auto"/>
      </w:divBdr>
      <w:divsChild>
        <w:div w:id="1374963845">
          <w:marLeft w:val="0"/>
          <w:marRight w:val="0"/>
          <w:marTop w:val="0"/>
          <w:marBottom w:val="0"/>
          <w:divBdr>
            <w:top w:val="none" w:sz="0" w:space="0" w:color="auto"/>
            <w:left w:val="none" w:sz="0" w:space="0" w:color="auto"/>
            <w:bottom w:val="none" w:sz="0" w:space="0" w:color="auto"/>
            <w:right w:val="none" w:sz="0" w:space="0" w:color="auto"/>
          </w:divBdr>
          <w:divsChild>
            <w:div w:id="2062703885">
              <w:marLeft w:val="0"/>
              <w:marRight w:val="0"/>
              <w:marTop w:val="0"/>
              <w:marBottom w:val="0"/>
              <w:divBdr>
                <w:top w:val="none" w:sz="0" w:space="0" w:color="auto"/>
                <w:left w:val="none" w:sz="0" w:space="0" w:color="auto"/>
                <w:bottom w:val="none" w:sz="0" w:space="0" w:color="auto"/>
                <w:right w:val="none" w:sz="0" w:space="0" w:color="auto"/>
              </w:divBdr>
              <w:divsChild>
                <w:div w:id="285702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1537618">
      <w:bodyDiv w:val="1"/>
      <w:marLeft w:val="0"/>
      <w:marRight w:val="0"/>
      <w:marTop w:val="0"/>
      <w:marBottom w:val="0"/>
      <w:divBdr>
        <w:top w:val="none" w:sz="0" w:space="0" w:color="auto"/>
        <w:left w:val="none" w:sz="0" w:space="0" w:color="auto"/>
        <w:bottom w:val="none" w:sz="0" w:space="0" w:color="auto"/>
        <w:right w:val="none" w:sz="0" w:space="0" w:color="auto"/>
      </w:divBdr>
    </w:div>
    <w:div w:id="801264554">
      <w:bodyDiv w:val="1"/>
      <w:marLeft w:val="0"/>
      <w:marRight w:val="0"/>
      <w:marTop w:val="0"/>
      <w:marBottom w:val="0"/>
      <w:divBdr>
        <w:top w:val="none" w:sz="0" w:space="0" w:color="auto"/>
        <w:left w:val="none" w:sz="0" w:space="0" w:color="auto"/>
        <w:bottom w:val="none" w:sz="0" w:space="0" w:color="auto"/>
        <w:right w:val="none" w:sz="0" w:space="0" w:color="auto"/>
      </w:divBdr>
      <w:divsChild>
        <w:div w:id="1077483690">
          <w:marLeft w:val="0"/>
          <w:marRight w:val="0"/>
          <w:marTop w:val="0"/>
          <w:marBottom w:val="0"/>
          <w:divBdr>
            <w:top w:val="none" w:sz="0" w:space="0" w:color="auto"/>
            <w:left w:val="none" w:sz="0" w:space="0" w:color="auto"/>
            <w:bottom w:val="none" w:sz="0" w:space="0" w:color="auto"/>
            <w:right w:val="none" w:sz="0" w:space="0" w:color="auto"/>
          </w:divBdr>
          <w:divsChild>
            <w:div w:id="1059015834">
              <w:marLeft w:val="0"/>
              <w:marRight w:val="0"/>
              <w:marTop w:val="0"/>
              <w:marBottom w:val="0"/>
              <w:divBdr>
                <w:top w:val="none" w:sz="0" w:space="0" w:color="auto"/>
                <w:left w:val="none" w:sz="0" w:space="0" w:color="auto"/>
                <w:bottom w:val="none" w:sz="0" w:space="0" w:color="auto"/>
                <w:right w:val="none" w:sz="0" w:space="0" w:color="auto"/>
              </w:divBdr>
              <w:divsChild>
                <w:div w:id="586185445">
                  <w:marLeft w:val="0"/>
                  <w:marRight w:val="0"/>
                  <w:marTop w:val="0"/>
                  <w:marBottom w:val="0"/>
                  <w:divBdr>
                    <w:top w:val="none" w:sz="0" w:space="0" w:color="auto"/>
                    <w:left w:val="none" w:sz="0" w:space="0" w:color="auto"/>
                    <w:bottom w:val="none" w:sz="0" w:space="0" w:color="auto"/>
                    <w:right w:val="none" w:sz="0" w:space="0" w:color="auto"/>
                  </w:divBdr>
                  <w:divsChild>
                    <w:div w:id="234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4887">
      <w:bodyDiv w:val="1"/>
      <w:marLeft w:val="0"/>
      <w:marRight w:val="0"/>
      <w:marTop w:val="0"/>
      <w:marBottom w:val="0"/>
      <w:divBdr>
        <w:top w:val="none" w:sz="0" w:space="0" w:color="auto"/>
        <w:left w:val="none" w:sz="0" w:space="0" w:color="auto"/>
        <w:bottom w:val="none" w:sz="0" w:space="0" w:color="auto"/>
        <w:right w:val="none" w:sz="0" w:space="0" w:color="auto"/>
      </w:divBdr>
    </w:div>
    <w:div w:id="967735415">
      <w:bodyDiv w:val="1"/>
      <w:marLeft w:val="0"/>
      <w:marRight w:val="0"/>
      <w:marTop w:val="0"/>
      <w:marBottom w:val="0"/>
      <w:divBdr>
        <w:top w:val="none" w:sz="0" w:space="0" w:color="auto"/>
        <w:left w:val="none" w:sz="0" w:space="0" w:color="auto"/>
        <w:bottom w:val="none" w:sz="0" w:space="0" w:color="auto"/>
        <w:right w:val="none" w:sz="0" w:space="0" w:color="auto"/>
      </w:divBdr>
    </w:div>
    <w:div w:id="980234309">
      <w:bodyDiv w:val="1"/>
      <w:marLeft w:val="0"/>
      <w:marRight w:val="0"/>
      <w:marTop w:val="0"/>
      <w:marBottom w:val="0"/>
      <w:divBdr>
        <w:top w:val="none" w:sz="0" w:space="0" w:color="auto"/>
        <w:left w:val="none" w:sz="0" w:space="0" w:color="auto"/>
        <w:bottom w:val="none" w:sz="0" w:space="0" w:color="auto"/>
        <w:right w:val="none" w:sz="0" w:space="0" w:color="auto"/>
      </w:divBdr>
    </w:div>
    <w:div w:id="994456560">
      <w:bodyDiv w:val="1"/>
      <w:marLeft w:val="0"/>
      <w:marRight w:val="0"/>
      <w:marTop w:val="0"/>
      <w:marBottom w:val="0"/>
      <w:divBdr>
        <w:top w:val="none" w:sz="0" w:space="0" w:color="auto"/>
        <w:left w:val="none" w:sz="0" w:space="0" w:color="auto"/>
        <w:bottom w:val="none" w:sz="0" w:space="0" w:color="auto"/>
        <w:right w:val="none" w:sz="0" w:space="0" w:color="auto"/>
      </w:divBdr>
    </w:div>
    <w:div w:id="1040547723">
      <w:bodyDiv w:val="1"/>
      <w:marLeft w:val="0"/>
      <w:marRight w:val="0"/>
      <w:marTop w:val="0"/>
      <w:marBottom w:val="0"/>
      <w:divBdr>
        <w:top w:val="none" w:sz="0" w:space="0" w:color="auto"/>
        <w:left w:val="none" w:sz="0" w:space="0" w:color="auto"/>
        <w:bottom w:val="none" w:sz="0" w:space="0" w:color="auto"/>
        <w:right w:val="none" w:sz="0" w:space="0" w:color="auto"/>
      </w:divBdr>
    </w:div>
    <w:div w:id="1235159948">
      <w:bodyDiv w:val="1"/>
      <w:marLeft w:val="0"/>
      <w:marRight w:val="0"/>
      <w:marTop w:val="0"/>
      <w:marBottom w:val="0"/>
      <w:divBdr>
        <w:top w:val="none" w:sz="0" w:space="0" w:color="auto"/>
        <w:left w:val="none" w:sz="0" w:space="0" w:color="auto"/>
        <w:bottom w:val="none" w:sz="0" w:space="0" w:color="auto"/>
        <w:right w:val="none" w:sz="0" w:space="0" w:color="auto"/>
      </w:divBdr>
    </w:div>
    <w:div w:id="1372534768">
      <w:bodyDiv w:val="1"/>
      <w:marLeft w:val="0"/>
      <w:marRight w:val="0"/>
      <w:marTop w:val="0"/>
      <w:marBottom w:val="0"/>
      <w:divBdr>
        <w:top w:val="none" w:sz="0" w:space="0" w:color="auto"/>
        <w:left w:val="none" w:sz="0" w:space="0" w:color="auto"/>
        <w:bottom w:val="none" w:sz="0" w:space="0" w:color="auto"/>
        <w:right w:val="none" w:sz="0" w:space="0" w:color="auto"/>
      </w:divBdr>
    </w:div>
    <w:div w:id="1388604887">
      <w:bodyDiv w:val="1"/>
      <w:marLeft w:val="0"/>
      <w:marRight w:val="0"/>
      <w:marTop w:val="0"/>
      <w:marBottom w:val="0"/>
      <w:divBdr>
        <w:top w:val="none" w:sz="0" w:space="0" w:color="auto"/>
        <w:left w:val="none" w:sz="0" w:space="0" w:color="auto"/>
        <w:bottom w:val="none" w:sz="0" w:space="0" w:color="auto"/>
        <w:right w:val="none" w:sz="0" w:space="0" w:color="auto"/>
      </w:divBdr>
      <w:divsChild>
        <w:div w:id="542253621">
          <w:marLeft w:val="0"/>
          <w:marRight w:val="0"/>
          <w:marTop w:val="0"/>
          <w:marBottom w:val="0"/>
          <w:divBdr>
            <w:top w:val="none" w:sz="0" w:space="0" w:color="auto"/>
            <w:left w:val="none" w:sz="0" w:space="0" w:color="auto"/>
            <w:bottom w:val="none" w:sz="0" w:space="0" w:color="auto"/>
            <w:right w:val="none" w:sz="0" w:space="0" w:color="auto"/>
          </w:divBdr>
          <w:divsChild>
            <w:div w:id="2030065387">
              <w:marLeft w:val="0"/>
              <w:marRight w:val="0"/>
              <w:marTop w:val="0"/>
              <w:marBottom w:val="0"/>
              <w:divBdr>
                <w:top w:val="none" w:sz="0" w:space="0" w:color="auto"/>
                <w:left w:val="none" w:sz="0" w:space="0" w:color="auto"/>
                <w:bottom w:val="none" w:sz="0" w:space="0" w:color="auto"/>
                <w:right w:val="none" w:sz="0" w:space="0" w:color="auto"/>
              </w:divBdr>
              <w:divsChild>
                <w:div w:id="1669599263">
                  <w:marLeft w:val="0"/>
                  <w:marRight w:val="0"/>
                  <w:marTop w:val="0"/>
                  <w:marBottom w:val="0"/>
                  <w:divBdr>
                    <w:top w:val="none" w:sz="0" w:space="0" w:color="auto"/>
                    <w:left w:val="none" w:sz="0" w:space="0" w:color="auto"/>
                    <w:bottom w:val="none" w:sz="0" w:space="0" w:color="auto"/>
                    <w:right w:val="none" w:sz="0" w:space="0" w:color="auto"/>
                  </w:divBdr>
                  <w:divsChild>
                    <w:div w:id="10259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6230">
      <w:bodyDiv w:val="1"/>
      <w:marLeft w:val="0"/>
      <w:marRight w:val="0"/>
      <w:marTop w:val="0"/>
      <w:marBottom w:val="0"/>
      <w:divBdr>
        <w:top w:val="none" w:sz="0" w:space="0" w:color="auto"/>
        <w:left w:val="none" w:sz="0" w:space="0" w:color="auto"/>
        <w:bottom w:val="none" w:sz="0" w:space="0" w:color="auto"/>
        <w:right w:val="none" w:sz="0" w:space="0" w:color="auto"/>
      </w:divBdr>
    </w:div>
    <w:div w:id="1523860079">
      <w:bodyDiv w:val="1"/>
      <w:marLeft w:val="0"/>
      <w:marRight w:val="0"/>
      <w:marTop w:val="0"/>
      <w:marBottom w:val="0"/>
      <w:divBdr>
        <w:top w:val="none" w:sz="0" w:space="0" w:color="auto"/>
        <w:left w:val="none" w:sz="0" w:space="0" w:color="auto"/>
        <w:bottom w:val="none" w:sz="0" w:space="0" w:color="auto"/>
        <w:right w:val="none" w:sz="0" w:space="0" w:color="auto"/>
      </w:divBdr>
    </w:div>
    <w:div w:id="1754662654">
      <w:bodyDiv w:val="1"/>
      <w:marLeft w:val="0"/>
      <w:marRight w:val="0"/>
      <w:marTop w:val="0"/>
      <w:marBottom w:val="0"/>
      <w:divBdr>
        <w:top w:val="none" w:sz="0" w:space="0" w:color="auto"/>
        <w:left w:val="none" w:sz="0" w:space="0" w:color="auto"/>
        <w:bottom w:val="none" w:sz="0" w:space="0" w:color="auto"/>
        <w:right w:val="none" w:sz="0" w:space="0" w:color="auto"/>
      </w:divBdr>
    </w:div>
    <w:div w:id="1843354720">
      <w:bodyDiv w:val="1"/>
      <w:marLeft w:val="0"/>
      <w:marRight w:val="0"/>
      <w:marTop w:val="0"/>
      <w:marBottom w:val="0"/>
      <w:divBdr>
        <w:top w:val="none" w:sz="0" w:space="0" w:color="auto"/>
        <w:left w:val="none" w:sz="0" w:space="0" w:color="auto"/>
        <w:bottom w:val="none" w:sz="0" w:space="0" w:color="auto"/>
        <w:right w:val="none" w:sz="0" w:space="0" w:color="auto"/>
      </w:divBdr>
    </w:div>
    <w:div w:id="1941405685">
      <w:bodyDiv w:val="1"/>
      <w:marLeft w:val="0"/>
      <w:marRight w:val="0"/>
      <w:marTop w:val="0"/>
      <w:marBottom w:val="0"/>
      <w:divBdr>
        <w:top w:val="none" w:sz="0" w:space="0" w:color="auto"/>
        <w:left w:val="none" w:sz="0" w:space="0" w:color="auto"/>
        <w:bottom w:val="none" w:sz="0" w:space="0" w:color="auto"/>
        <w:right w:val="none" w:sz="0" w:space="0" w:color="auto"/>
      </w:divBdr>
      <w:divsChild>
        <w:div w:id="1192720882">
          <w:marLeft w:val="0"/>
          <w:marRight w:val="0"/>
          <w:marTop w:val="0"/>
          <w:marBottom w:val="0"/>
          <w:divBdr>
            <w:top w:val="none" w:sz="0" w:space="0" w:color="auto"/>
            <w:left w:val="none" w:sz="0" w:space="0" w:color="auto"/>
            <w:bottom w:val="none" w:sz="0" w:space="0" w:color="auto"/>
            <w:right w:val="none" w:sz="0" w:space="0" w:color="auto"/>
          </w:divBdr>
          <w:divsChild>
            <w:div w:id="438185826">
              <w:marLeft w:val="0"/>
              <w:marRight w:val="0"/>
              <w:marTop w:val="0"/>
              <w:marBottom w:val="0"/>
              <w:divBdr>
                <w:top w:val="none" w:sz="0" w:space="0" w:color="auto"/>
                <w:left w:val="none" w:sz="0" w:space="0" w:color="auto"/>
                <w:bottom w:val="none" w:sz="0" w:space="0" w:color="auto"/>
                <w:right w:val="none" w:sz="0" w:space="0" w:color="auto"/>
              </w:divBdr>
              <w:divsChild>
                <w:div w:id="686567578">
                  <w:marLeft w:val="0"/>
                  <w:marRight w:val="0"/>
                  <w:marTop w:val="0"/>
                  <w:marBottom w:val="0"/>
                  <w:divBdr>
                    <w:top w:val="none" w:sz="0" w:space="0" w:color="auto"/>
                    <w:left w:val="none" w:sz="0" w:space="0" w:color="auto"/>
                    <w:bottom w:val="none" w:sz="0" w:space="0" w:color="auto"/>
                    <w:right w:val="none" w:sz="0" w:space="0" w:color="auto"/>
                  </w:divBdr>
                  <w:divsChild>
                    <w:div w:id="1276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47875">
      <w:bodyDiv w:val="1"/>
      <w:marLeft w:val="0"/>
      <w:marRight w:val="0"/>
      <w:marTop w:val="0"/>
      <w:marBottom w:val="0"/>
      <w:divBdr>
        <w:top w:val="none" w:sz="0" w:space="0" w:color="auto"/>
        <w:left w:val="none" w:sz="0" w:space="0" w:color="auto"/>
        <w:bottom w:val="none" w:sz="0" w:space="0" w:color="auto"/>
        <w:right w:val="none" w:sz="0" w:space="0" w:color="auto"/>
      </w:divBdr>
    </w:div>
    <w:div w:id="2059237206">
      <w:bodyDiv w:val="1"/>
      <w:marLeft w:val="0"/>
      <w:marRight w:val="0"/>
      <w:marTop w:val="0"/>
      <w:marBottom w:val="0"/>
      <w:divBdr>
        <w:top w:val="none" w:sz="0" w:space="0" w:color="auto"/>
        <w:left w:val="none" w:sz="0" w:space="0" w:color="auto"/>
        <w:bottom w:val="none" w:sz="0" w:space="0" w:color="auto"/>
        <w:right w:val="none" w:sz="0" w:space="0" w:color="auto"/>
      </w:divBdr>
      <w:divsChild>
        <w:div w:id="503016632">
          <w:marLeft w:val="0"/>
          <w:marRight w:val="0"/>
          <w:marTop w:val="0"/>
          <w:marBottom w:val="0"/>
          <w:divBdr>
            <w:top w:val="none" w:sz="0" w:space="0" w:color="auto"/>
            <w:left w:val="none" w:sz="0" w:space="0" w:color="auto"/>
            <w:bottom w:val="none" w:sz="0" w:space="0" w:color="auto"/>
            <w:right w:val="none" w:sz="0" w:space="0" w:color="auto"/>
          </w:divBdr>
          <w:divsChild>
            <w:div w:id="1756512755">
              <w:marLeft w:val="0"/>
              <w:marRight w:val="0"/>
              <w:marTop w:val="0"/>
              <w:marBottom w:val="0"/>
              <w:divBdr>
                <w:top w:val="none" w:sz="0" w:space="0" w:color="auto"/>
                <w:left w:val="none" w:sz="0" w:space="0" w:color="auto"/>
                <w:bottom w:val="none" w:sz="0" w:space="0" w:color="auto"/>
                <w:right w:val="none" w:sz="0" w:space="0" w:color="auto"/>
              </w:divBdr>
              <w:divsChild>
                <w:div w:id="774448073">
                  <w:marLeft w:val="0"/>
                  <w:marRight w:val="0"/>
                  <w:marTop w:val="0"/>
                  <w:marBottom w:val="0"/>
                  <w:divBdr>
                    <w:top w:val="none" w:sz="0" w:space="0" w:color="auto"/>
                    <w:left w:val="none" w:sz="0" w:space="0" w:color="auto"/>
                    <w:bottom w:val="none" w:sz="0" w:space="0" w:color="auto"/>
                    <w:right w:val="none" w:sz="0" w:space="0" w:color="auto"/>
                  </w:divBdr>
                  <w:divsChild>
                    <w:div w:id="10384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7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nlinelibrary.wiley.com/doi/full/10.1111/jofi.1294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econresdata/researchdata/feds200628_1.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cademic.oup.com/rfs/article/27/3/663/1581525"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stor.org/stable/23251995?pq-origsite=summon&amp;seq=1"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咏洋</dc:creator>
  <cp:keywords/>
  <dc:description/>
  <cp:lastModifiedBy>范 咏洋</cp:lastModifiedBy>
  <cp:revision>5</cp:revision>
  <dcterms:created xsi:type="dcterms:W3CDTF">2020-11-27T12:57:00Z</dcterms:created>
  <dcterms:modified xsi:type="dcterms:W3CDTF">2020-11-28T08:17:00Z</dcterms:modified>
</cp:coreProperties>
</file>