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EFA3" w14:textId="4D81F916" w:rsidR="00BA4099" w:rsidRPr="00FF4B58" w:rsidRDefault="00DD01B9" w:rsidP="00F16CC9">
      <w:pPr>
        <w:spacing w:line="300" w:lineRule="auto"/>
        <w:jc w:val="center"/>
        <w:rPr>
          <w:rFonts w:eastAsiaTheme="minorHAnsi"/>
          <w:szCs w:val="21"/>
        </w:rPr>
      </w:pPr>
      <w:r w:rsidRPr="00FF4B58">
        <w:rPr>
          <w:rFonts w:eastAsiaTheme="minorHAnsi"/>
          <w:szCs w:val="21"/>
        </w:rPr>
        <w:t>B</w:t>
      </w:r>
      <w:r w:rsidRPr="00FF4B58">
        <w:rPr>
          <w:rFonts w:eastAsiaTheme="minorHAnsi" w:hint="eastAsia"/>
          <w:szCs w:val="21"/>
        </w:rPr>
        <w:t>on</w:t>
      </w:r>
      <w:r w:rsidRPr="00FF4B58">
        <w:rPr>
          <w:rFonts w:eastAsiaTheme="minorHAnsi"/>
          <w:szCs w:val="21"/>
        </w:rPr>
        <w:t xml:space="preserve">d Risk Premia by Cochrane and </w:t>
      </w:r>
      <w:proofErr w:type="spellStart"/>
      <w:r w:rsidRPr="00FF4B58">
        <w:rPr>
          <w:rFonts w:eastAsiaTheme="minorHAnsi"/>
          <w:szCs w:val="21"/>
        </w:rPr>
        <w:t>Piazzesi</w:t>
      </w:r>
      <w:proofErr w:type="spellEnd"/>
    </w:p>
    <w:p w14:paraId="0E3D9211" w14:textId="183FEADC" w:rsidR="00FC301F" w:rsidRPr="00FF4B58" w:rsidRDefault="00FC301F" w:rsidP="00F16CC9">
      <w:pPr>
        <w:spacing w:line="300" w:lineRule="auto"/>
        <w:rPr>
          <w:rFonts w:eastAsiaTheme="minorHAnsi" w:hint="eastAsia"/>
          <w:szCs w:val="21"/>
        </w:rPr>
      </w:pPr>
    </w:p>
    <w:p w14:paraId="682F3A8F" w14:textId="33CBAAE2" w:rsidR="00670B36" w:rsidRPr="00FF4B58" w:rsidRDefault="00053F88" w:rsidP="00F16CC9">
      <w:pPr>
        <w:spacing w:line="300" w:lineRule="auto"/>
        <w:rPr>
          <w:rFonts w:eastAsiaTheme="minorHAnsi" w:hint="eastAsia"/>
          <w:szCs w:val="21"/>
        </w:rPr>
      </w:pPr>
      <w:r w:rsidRPr="00FF4B58">
        <w:rPr>
          <w:rFonts w:eastAsiaTheme="minorHAnsi"/>
          <w:szCs w:val="21"/>
        </w:rPr>
        <w:t>Th</w:t>
      </w:r>
      <w:r w:rsidR="009B27EB" w:rsidRPr="00FF4B58">
        <w:rPr>
          <w:rFonts w:eastAsiaTheme="minorHAnsi"/>
          <w:szCs w:val="21"/>
        </w:rPr>
        <w:t>is paper</w:t>
      </w:r>
      <w:r w:rsidRPr="00FF4B58">
        <w:rPr>
          <w:rFonts w:eastAsiaTheme="minorHAnsi"/>
          <w:szCs w:val="21"/>
        </w:rPr>
        <w:t xml:space="preserve"> stud</w:t>
      </w:r>
      <w:r w:rsidR="009B27EB" w:rsidRPr="00FF4B58">
        <w:rPr>
          <w:rFonts w:eastAsiaTheme="minorHAnsi"/>
          <w:szCs w:val="21"/>
        </w:rPr>
        <w:t>ies</w:t>
      </w:r>
      <w:r w:rsidRPr="00FF4B58">
        <w:rPr>
          <w:rFonts w:eastAsiaTheme="minorHAnsi"/>
          <w:szCs w:val="21"/>
        </w:rPr>
        <w:t xml:space="preserve"> time-varying risk premia in U.S. government bonds. The regressions of one-year excess returns are based on </w:t>
      </w:r>
      <w:r w:rsidR="00783FF8" w:rsidRPr="00FF4B58">
        <w:rPr>
          <w:rFonts w:eastAsiaTheme="minorHAnsi"/>
          <w:szCs w:val="21"/>
        </w:rPr>
        <w:t xml:space="preserve">five forward rates available at the beginning </w:t>
      </w:r>
      <w:r w:rsidR="0079246A" w:rsidRPr="00FF4B58">
        <w:rPr>
          <w:rFonts w:eastAsiaTheme="minorHAnsi"/>
          <w:szCs w:val="21"/>
        </w:rPr>
        <w:t>of the period</w:t>
      </w:r>
      <w:r w:rsidR="005C3FC5" w:rsidRPr="00FF4B58">
        <w:rPr>
          <w:rFonts w:eastAsiaTheme="minorHAnsi"/>
          <w:szCs w:val="21"/>
        </w:rPr>
        <w:t>,</w:t>
      </w:r>
      <w:r w:rsidR="0079246A" w:rsidRPr="00FF4B58">
        <w:rPr>
          <w:rFonts w:eastAsiaTheme="minorHAnsi"/>
          <w:szCs w:val="21"/>
        </w:rPr>
        <w:t xml:space="preserve"> that is</w:t>
      </w:r>
      <w:r w:rsidR="005C3FC5" w:rsidRPr="00FF4B58">
        <w:rPr>
          <w:rFonts w:eastAsiaTheme="minorHAnsi"/>
          <w:szCs w:val="21"/>
        </w:rPr>
        <w:t>,</w:t>
      </w:r>
      <w:r w:rsidR="0079246A" w:rsidRPr="00FF4B58">
        <w:rPr>
          <w:rFonts w:eastAsiaTheme="minorHAnsi"/>
          <w:szCs w:val="21"/>
        </w:rPr>
        <w:t xml:space="preserve"> a single </w:t>
      </w:r>
      <w:r w:rsidR="00FC1523" w:rsidRPr="00FF4B58">
        <w:rPr>
          <w:rFonts w:eastAsiaTheme="minorHAnsi"/>
          <w:szCs w:val="21"/>
        </w:rPr>
        <w:t>tent-shaped linear combination</w:t>
      </w:r>
      <w:r w:rsidR="00A909B8" w:rsidRPr="00FF4B58">
        <w:rPr>
          <w:rFonts w:eastAsiaTheme="minorHAnsi"/>
          <w:szCs w:val="21"/>
        </w:rPr>
        <w:t xml:space="preserve"> of forward rate.</w:t>
      </w:r>
      <w:r w:rsidR="009146B3" w:rsidRPr="00FF4B58">
        <w:rPr>
          <w:rFonts w:eastAsiaTheme="minorHAnsi"/>
          <w:szCs w:val="21"/>
        </w:rPr>
        <w:t xml:space="preserve"> It predicts one-year excess returns on one to fine-year </w:t>
      </w:r>
      <w:r w:rsidR="00650CD7" w:rsidRPr="00FF4B58">
        <w:rPr>
          <w:rFonts w:eastAsiaTheme="minorHAnsi"/>
          <w:szCs w:val="21"/>
        </w:rPr>
        <w:t xml:space="preserve">maturity bonds with R2 </w:t>
      </w:r>
      <w:r w:rsidR="00EA6BEE" w:rsidRPr="00FF4B58">
        <w:rPr>
          <w:rFonts w:eastAsiaTheme="minorHAnsi"/>
          <w:szCs w:val="21"/>
        </w:rPr>
        <w:t>up to 44 percent.</w:t>
      </w:r>
      <w:r w:rsidR="00F64EC3" w:rsidRPr="00FF4B58">
        <w:rPr>
          <w:rFonts w:eastAsiaTheme="minorHAnsi"/>
          <w:szCs w:val="21"/>
        </w:rPr>
        <w:t xml:space="preserve"> </w:t>
      </w:r>
      <w:r w:rsidR="00BA4099" w:rsidRPr="00FF4B58">
        <w:rPr>
          <w:rFonts w:eastAsiaTheme="minorHAnsi"/>
          <w:szCs w:val="21"/>
        </w:rPr>
        <w:t>The return forecasting factor has a clear business cycle correlation:</w:t>
      </w:r>
      <w:r w:rsidR="00D661F7" w:rsidRPr="00FF4B58">
        <w:rPr>
          <w:rFonts w:eastAsiaTheme="minorHAnsi" w:hint="eastAsia"/>
          <w:szCs w:val="21"/>
          <w:vertAlign w:val="superscript"/>
        </w:rPr>
        <w:t xml:space="preserve"> </w:t>
      </w:r>
      <w:r w:rsidR="00BA4099" w:rsidRPr="00FF4B58">
        <w:rPr>
          <w:rFonts w:eastAsiaTheme="minorHAnsi"/>
          <w:szCs w:val="21"/>
        </w:rPr>
        <w:t>Expected returns are high in bad times, and low in good times, and the return-forecasting factor forecasts long-run output growth.</w:t>
      </w:r>
      <w:r w:rsidR="007A2D90" w:rsidRPr="00FF4B58">
        <w:rPr>
          <w:rFonts w:eastAsiaTheme="minorHAnsi" w:hint="eastAsia"/>
          <w:szCs w:val="21"/>
          <w:vertAlign w:val="superscript"/>
        </w:rPr>
        <w:t xml:space="preserve"> </w:t>
      </w:r>
      <w:r w:rsidR="008C0D0A" w:rsidRPr="00FF4B58">
        <w:rPr>
          <w:rFonts w:eastAsiaTheme="minorHAnsi"/>
          <w:szCs w:val="21"/>
        </w:rPr>
        <w:t>And t</w:t>
      </w:r>
      <w:r w:rsidR="00BA4099" w:rsidRPr="00FF4B58">
        <w:rPr>
          <w:rFonts w:eastAsiaTheme="minorHAnsi"/>
          <w:szCs w:val="21"/>
        </w:rPr>
        <w:t>he return-forecasting factor is poorly related to level, slope, and curvature movements in bond yields.</w:t>
      </w:r>
      <w:r w:rsidR="00621F9B" w:rsidRPr="00FF4B58">
        <w:rPr>
          <w:rFonts w:eastAsiaTheme="minorHAnsi" w:hint="eastAsia"/>
          <w:szCs w:val="21"/>
        </w:rPr>
        <w:t xml:space="preserve"> </w:t>
      </w:r>
      <w:r w:rsidR="00BA4099" w:rsidRPr="00FF4B58">
        <w:rPr>
          <w:rFonts w:eastAsiaTheme="minorHAnsi"/>
          <w:szCs w:val="21"/>
        </w:rPr>
        <w:t>Therefore, it represents a source of yield curve movement not captured by most term structure models.</w:t>
      </w:r>
    </w:p>
    <w:p w14:paraId="1DE4833C" w14:textId="27676ABB" w:rsidR="002D49A0" w:rsidRPr="00FF4B58" w:rsidRDefault="00670B36" w:rsidP="00F16CC9">
      <w:pPr>
        <w:spacing w:line="300" w:lineRule="auto"/>
        <w:rPr>
          <w:rFonts w:eastAsiaTheme="minorHAnsi" w:hint="eastAsia"/>
          <w:szCs w:val="21"/>
        </w:rPr>
      </w:pPr>
      <w:r w:rsidRPr="00FF4B58">
        <w:rPr>
          <w:rFonts w:eastAsiaTheme="minorHAnsi" w:hint="eastAsia"/>
          <w:b/>
          <w:bCs/>
          <w:szCs w:val="21"/>
        </w:rPr>
        <w:t>Estimates</w:t>
      </w:r>
      <w:r w:rsidRPr="00FF4B58">
        <w:rPr>
          <w:rFonts w:eastAsiaTheme="minorHAnsi"/>
          <w:b/>
          <w:bCs/>
          <w:szCs w:val="21"/>
        </w:rPr>
        <w:t xml:space="preserve"> of the return-forecasting factor</w:t>
      </w:r>
      <w:r w:rsidR="002D49A0" w:rsidRPr="00FF4B58">
        <w:rPr>
          <w:rFonts w:eastAsiaTheme="minorHAnsi"/>
          <w:b/>
          <w:bCs/>
          <w:szCs w:val="21"/>
        </w:rPr>
        <w:t>,</w:t>
      </w:r>
      <w:r w:rsidR="002D49A0" w:rsidRPr="00FF4B58">
        <w:rPr>
          <w:rFonts w:eastAsiaTheme="minorHAnsi" w:hint="eastAsia"/>
          <w:szCs w:val="21"/>
        </w:rPr>
        <w:t xml:space="preserve"> </w:t>
      </w:r>
      <w:r w:rsidR="002D49A0" w:rsidRPr="00FF4B58">
        <w:rPr>
          <w:rFonts w:eastAsiaTheme="minorHAnsi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Cs w:val="21"/>
                <w:highlight w:val="yellow"/>
              </w:rPr>
            </m:ctrlPr>
          </m:accPr>
          <m:e>
            <m:r>
              <w:rPr>
                <w:rFonts w:ascii="Cambria Math" w:eastAsiaTheme="minorHAnsi" w:hAnsi="Cambria Math"/>
                <w:szCs w:val="21"/>
                <w:highlight w:val="yellow"/>
              </w:rPr>
              <m:t>r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1"/>
                    <w:highlight w:val="yellow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1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1"/>
                    <w:highlight w:val="yellow"/>
                  </w:rPr>
                  <m:t>t+1</m:t>
                </m:r>
              </m:sub>
            </m:sSub>
          </m:e>
        </m:acc>
        <m:r>
          <w:rPr>
            <w:rFonts w:ascii="Cambria Math" w:eastAsiaTheme="minorHAnsi" w:hAnsi="Cambria Math"/>
            <w:szCs w:val="21"/>
            <w:highlight w:val="yellow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Cs w:val="21"/>
                <w:highlight w:val="yellow"/>
              </w:rPr>
            </m:ctrlPr>
          </m:sSupPr>
          <m:e>
            <m:r>
              <w:rPr>
                <w:rFonts w:ascii="Cambria Math" w:eastAsiaTheme="minorHAnsi" w:hAnsi="Cambria Math"/>
                <w:szCs w:val="21"/>
                <w:highlight w:val="yellow"/>
              </w:rPr>
              <m:t>γ</m:t>
            </m:r>
          </m:e>
          <m:sup>
            <m:r>
              <w:rPr>
                <w:rFonts w:ascii="Cambria Math" w:eastAsiaTheme="minorHAnsi" w:hAnsi="Cambria Math"/>
                <w:szCs w:val="21"/>
                <w:highlight w:val="yellow"/>
              </w:rPr>
              <m:t>⊺</m:t>
            </m:r>
          </m:sup>
        </m:sSup>
        <m:sSub>
          <m:sSubPr>
            <m:ctrlPr>
              <w:rPr>
                <w:rFonts w:ascii="Cambria Math" w:eastAsiaTheme="minorHAnsi" w:hAnsi="Cambria Math"/>
                <w:i/>
                <w:szCs w:val="21"/>
                <w:highlight w:val="yellow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  <w:highlight w:val="yellow"/>
              </w:rPr>
              <m:t>f</m:t>
            </m:r>
          </m:e>
          <m:sub>
            <m:r>
              <w:rPr>
                <w:rFonts w:ascii="Cambria Math" w:eastAsiaTheme="minorHAnsi" w:hAnsi="Cambria Math"/>
                <w:szCs w:val="21"/>
                <w:highlight w:val="yellow"/>
              </w:rPr>
              <m:t>t</m:t>
            </m:r>
          </m:sub>
        </m:sSub>
        <m:r>
          <w:rPr>
            <w:rFonts w:ascii="Cambria Math" w:eastAsiaTheme="minorHAnsi" w:hAnsi="Cambria Math"/>
            <w:szCs w:val="21"/>
            <w:highlight w:val="yellow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szCs w:val="21"/>
                    <w:highlight w:val="yellow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1"/>
                    <w:highlight w:val="yellow"/>
                  </w:rPr>
                  <m:t>ε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1"/>
                <w:highlight w:val="yellow"/>
              </w:rPr>
              <m:t>t+1</m:t>
            </m:r>
          </m:sub>
        </m:sSub>
      </m:oMath>
    </w:p>
    <w:p w14:paraId="18A1E617" w14:textId="13783649" w:rsidR="002D49A0" w:rsidRPr="00FF4B58" w:rsidRDefault="008354E1" w:rsidP="00F16CC9">
      <w:pPr>
        <w:pStyle w:val="a4"/>
        <w:spacing w:line="300" w:lineRule="auto"/>
        <w:rPr>
          <w:rFonts w:asciiTheme="minorHAnsi" w:eastAsiaTheme="minorHAnsi" w:hAnsiTheme="minorHAnsi" w:hint="eastAsia"/>
          <w:sz w:val="21"/>
          <w:szCs w:val="21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</m:oMath>
      <w:r w:rsidRPr="00FF4B58">
        <w:rPr>
          <w:rFonts w:asciiTheme="minorHAnsi" w:eastAsiaTheme="minorHAnsi" w:hAnsiTheme="minorHAnsi" w:hint="eastAsia"/>
          <w:sz w:val="21"/>
          <w:szCs w:val="21"/>
        </w:rPr>
        <w:t>=</w:t>
      </w:r>
      <w:r w:rsidRPr="00FF4B58">
        <w:rPr>
          <w:rFonts w:asciiTheme="minorHAnsi" w:eastAsiaTheme="minorHAnsi" w:hAnsiTheme="minorHAnsi"/>
          <w:sz w:val="21"/>
          <w:szCs w:val="21"/>
        </w:rPr>
        <w:t xml:space="preserve"> </w:t>
      </w:r>
      <w:r w:rsidR="002D49A0" w:rsidRPr="00FF4B58">
        <w:rPr>
          <w:rFonts w:asciiTheme="minorHAnsi" w:eastAsiaTheme="minorHAnsi" w:hAnsiTheme="minorHAnsi"/>
          <w:sz w:val="21"/>
          <w:szCs w:val="21"/>
        </w:rPr>
        <w:t xml:space="preserve">log price of </w:t>
      </w:r>
      <w:r w:rsidR="002D49A0" w:rsidRPr="00FF4B58">
        <w:rPr>
          <w:rFonts w:asciiTheme="minorHAnsi" w:eastAsiaTheme="minorHAnsi" w:hAnsiTheme="minorHAnsi"/>
          <w:i/>
          <w:iCs/>
          <w:sz w:val="21"/>
          <w:szCs w:val="21"/>
        </w:rPr>
        <w:t>n</w:t>
      </w:r>
      <w:r w:rsidR="002D49A0" w:rsidRPr="00FF4B58">
        <w:rPr>
          <w:rFonts w:asciiTheme="minorHAnsi" w:eastAsiaTheme="minorHAnsi" w:hAnsiTheme="minorHAnsi"/>
          <w:sz w:val="21"/>
          <w:szCs w:val="21"/>
        </w:rPr>
        <w:t xml:space="preserve">-year discount bond at time </w:t>
      </w:r>
      <w:r w:rsidR="002D49A0" w:rsidRPr="00FF4B58">
        <w:rPr>
          <w:rFonts w:asciiTheme="minorHAnsi" w:eastAsiaTheme="minorHAnsi" w:hAnsiTheme="minorHAnsi"/>
          <w:i/>
          <w:iCs/>
          <w:sz w:val="21"/>
          <w:szCs w:val="21"/>
        </w:rPr>
        <w:t>t</w:t>
      </w:r>
      <w:r w:rsidR="002D49A0" w:rsidRPr="00FF4B58">
        <w:rPr>
          <w:rFonts w:asciiTheme="minorHAnsi" w:eastAsiaTheme="minorHAnsi" w:hAnsiTheme="minorHAnsi"/>
          <w:sz w:val="21"/>
          <w:szCs w:val="21"/>
        </w:rPr>
        <w:t xml:space="preserve">. </w:t>
      </w:r>
    </w:p>
    <w:p w14:paraId="05C73C28" w14:textId="0FAAA17F" w:rsidR="008354E1" w:rsidRPr="00FF4B58" w:rsidRDefault="008354E1" w:rsidP="00F16CC9">
      <w:pPr>
        <w:pStyle w:val="a4"/>
        <w:spacing w:line="300" w:lineRule="auto"/>
        <w:rPr>
          <w:rFonts w:asciiTheme="minorHAnsi" w:eastAsiaTheme="minorHAnsi" w:hAnsiTheme="minorHAnsi" w:hint="eastAsia"/>
          <w:sz w:val="21"/>
          <w:szCs w:val="21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  <m:r>
          <w:rPr>
            <w:rFonts w:ascii="Cambria Math" w:eastAsiaTheme="minorHAnsi" w:hAnsi="Cambria Math"/>
            <w:sz w:val="21"/>
            <w:szCs w:val="21"/>
          </w:rPr>
          <m:t>≡-</m:t>
        </m:r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1"/>
                <w:szCs w:val="21"/>
              </w:rPr>
              <m:t>n</m:t>
            </m:r>
          </m:den>
        </m:f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</m:oMath>
      <w:r w:rsidR="00F9343F" w:rsidRPr="00FF4B58">
        <w:rPr>
          <w:rFonts w:asciiTheme="minorHAnsi" w:eastAsiaTheme="minorHAnsi" w:hAnsiTheme="minorHAnsi"/>
          <w:sz w:val="21"/>
          <w:szCs w:val="21"/>
        </w:rPr>
        <w:t xml:space="preserve"> .   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>the log forward rate at time t for loans between time t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>+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>n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>-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 xml:space="preserve">1 and </w:t>
      </w:r>
      <w:proofErr w:type="spellStart"/>
      <w:r w:rsidR="00F9343F" w:rsidRPr="00FF4B58">
        <w:rPr>
          <w:rFonts w:asciiTheme="minorHAnsi" w:eastAsiaTheme="minorHAnsi" w:hAnsiTheme="minorHAnsi"/>
          <w:sz w:val="21"/>
          <w:szCs w:val="21"/>
        </w:rPr>
        <w:t>t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>+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>n</w:t>
      </w:r>
      <w:proofErr w:type="spellEnd"/>
    </w:p>
    <w:p w14:paraId="49E7FA88" w14:textId="6498B5FA" w:rsidR="006A14F8" w:rsidRPr="00FF4B58" w:rsidRDefault="006A14F8" w:rsidP="00F16CC9">
      <w:pPr>
        <w:pStyle w:val="a4"/>
        <w:spacing w:line="300" w:lineRule="auto"/>
        <w:rPr>
          <w:rFonts w:asciiTheme="minorHAnsi" w:eastAsiaTheme="minorHAnsi" w:hAnsiTheme="minorHAnsi"/>
          <w:sz w:val="21"/>
          <w:szCs w:val="21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  <m:r>
          <w:rPr>
            <w:rFonts w:ascii="Cambria Math" w:eastAsiaTheme="minorHAnsi" w:hAnsi="Cambria Math"/>
            <w:sz w:val="21"/>
            <w:szCs w:val="21"/>
          </w:rPr>
          <m:t>≡</m:t>
        </m:r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d>
              <m:dPr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n</m:t>
                </m:r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-1</m:t>
                </m:r>
              </m:e>
            </m:d>
          </m:sup>
        </m:sSubSup>
        <m:r>
          <w:rPr>
            <w:rFonts w:ascii="Cambria Math" w:eastAsiaTheme="minorHAnsi" w:hAnsi="Cambria Math"/>
            <w:sz w:val="21"/>
            <w:szCs w:val="21"/>
          </w:rPr>
          <m:t>-</m:t>
        </m:r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</m:oMath>
      <w:r w:rsidR="00F9343F" w:rsidRPr="00FF4B58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F9343F" w:rsidRPr="00FF4B58">
        <w:rPr>
          <w:rFonts w:asciiTheme="minorHAnsi" w:eastAsiaTheme="minorHAnsi" w:hAnsiTheme="minorHAnsi"/>
          <w:sz w:val="21"/>
          <w:szCs w:val="21"/>
        </w:rPr>
        <w:t xml:space="preserve"> .</w:t>
      </w:r>
      <w:r w:rsidR="00644461" w:rsidRPr="00FF4B58">
        <w:rPr>
          <w:rFonts w:asciiTheme="minorHAnsi" w:eastAsiaTheme="minorHAnsi" w:hAnsiTheme="minorHAnsi"/>
          <w:sz w:val="21"/>
          <w:szCs w:val="21"/>
        </w:rPr>
        <w:t xml:space="preserve"> </w:t>
      </w:r>
      <w:r w:rsidR="00644461" w:rsidRPr="00FF4B58">
        <w:rPr>
          <w:rFonts w:asciiTheme="minorHAnsi" w:eastAsiaTheme="minorHAnsi" w:hAnsiTheme="minorHAnsi"/>
          <w:sz w:val="21"/>
          <w:szCs w:val="21"/>
        </w:rPr>
        <w:t>the log holding period return from buying an n-year bond at time t and selling it as an n</w:t>
      </w:r>
      <w:r w:rsidR="00644461" w:rsidRPr="00FF4B58">
        <w:rPr>
          <w:rFonts w:asciiTheme="minorHAnsi" w:eastAsiaTheme="minorHAnsi" w:hAnsiTheme="minorHAnsi"/>
          <w:sz w:val="21"/>
          <w:szCs w:val="21"/>
        </w:rPr>
        <w:t>-</w:t>
      </w:r>
      <w:r w:rsidR="00644461" w:rsidRPr="00FF4B58">
        <w:rPr>
          <w:rFonts w:asciiTheme="minorHAnsi" w:eastAsiaTheme="minorHAnsi" w:hAnsiTheme="minorHAnsi"/>
          <w:sz w:val="21"/>
          <w:szCs w:val="21"/>
        </w:rPr>
        <w:t>1</w:t>
      </w:r>
      <w:r w:rsidR="00F16CC9" w:rsidRPr="00FF4B58">
        <w:rPr>
          <w:rFonts w:asciiTheme="minorHAnsi" w:eastAsiaTheme="minorHAnsi" w:hAnsiTheme="minorHAnsi"/>
          <w:sz w:val="21"/>
          <w:szCs w:val="21"/>
        </w:rPr>
        <w:t>-</w:t>
      </w:r>
      <w:r w:rsidR="00644461" w:rsidRPr="00FF4B58">
        <w:rPr>
          <w:rFonts w:asciiTheme="minorHAnsi" w:eastAsiaTheme="minorHAnsi" w:hAnsiTheme="minorHAnsi"/>
          <w:sz w:val="21"/>
          <w:szCs w:val="21"/>
        </w:rPr>
        <w:t>year bond at time t</w:t>
      </w:r>
      <w:r w:rsidR="00644461" w:rsidRPr="00FF4B58">
        <w:rPr>
          <w:rFonts w:asciiTheme="minorHAnsi" w:eastAsiaTheme="minorHAnsi" w:hAnsiTheme="minorHAnsi"/>
          <w:sz w:val="21"/>
          <w:szCs w:val="21"/>
        </w:rPr>
        <w:t>+</w:t>
      </w:r>
      <w:r w:rsidR="00644461" w:rsidRPr="00FF4B58">
        <w:rPr>
          <w:rFonts w:asciiTheme="minorHAnsi" w:eastAsiaTheme="minorHAnsi" w:hAnsiTheme="minorHAnsi"/>
          <w:sz w:val="21"/>
          <w:szCs w:val="21"/>
        </w:rPr>
        <w:t>1</w:t>
      </w:r>
    </w:p>
    <w:p w14:paraId="5B911DF8" w14:textId="0CA2AD2E" w:rsidR="00F9343F" w:rsidRDefault="00F9343F" w:rsidP="00F16CC9">
      <w:pPr>
        <w:pStyle w:val="a4"/>
        <w:spacing w:line="300" w:lineRule="auto"/>
        <w:rPr>
          <w:rFonts w:asciiTheme="minorHAnsi" w:eastAsiaTheme="minorHAnsi" w:hAnsiTheme="minorHAnsi"/>
          <w:sz w:val="21"/>
          <w:szCs w:val="21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  <m:r>
              <w:rPr>
                <w:rFonts w:ascii="Cambria Math" w:eastAsiaTheme="minorHAnsi" w:hAnsi="Cambria Math"/>
                <w:sz w:val="21"/>
                <w:szCs w:val="21"/>
              </w:rPr>
              <m:t>+1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  <m:r>
          <w:rPr>
            <w:rFonts w:ascii="Cambria Math" w:eastAsiaTheme="minorHAnsi" w:hAnsi="Cambria Math"/>
            <w:sz w:val="21"/>
            <w:szCs w:val="21"/>
          </w:rPr>
          <m:t>≡</m:t>
        </m:r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  <m:r>
              <w:rPr>
                <w:rFonts w:ascii="Cambria Math" w:eastAsiaTheme="minorHAnsi" w:hAnsi="Cambria Math"/>
                <w:sz w:val="21"/>
                <w:szCs w:val="21"/>
              </w:rPr>
              <m:t>+1</m:t>
            </m:r>
          </m:sub>
          <m:sup>
            <m:d>
              <m:dPr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n-1</m:t>
                </m:r>
              </m:e>
            </m:d>
          </m:sup>
        </m:sSubSup>
        <m:r>
          <w:rPr>
            <w:rFonts w:ascii="Cambria Math" w:eastAsiaTheme="minorHAnsi" w:hAnsi="Cambria Math"/>
            <w:sz w:val="21"/>
            <w:szCs w:val="21"/>
          </w:rPr>
          <m:t>-</m:t>
        </m:r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</m:oMath>
      <w:r w:rsidR="001215C6" w:rsidRPr="00FF4B58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1215C6" w:rsidRPr="00FF4B58">
        <w:rPr>
          <w:rFonts w:asciiTheme="minorHAnsi" w:eastAsiaTheme="minorHAnsi" w:hAnsiTheme="minorHAnsi"/>
          <w:sz w:val="21"/>
          <w:szCs w:val="21"/>
        </w:rPr>
        <w:t xml:space="preserve"> .</w:t>
      </w:r>
      <w:r w:rsidR="00852C63" w:rsidRPr="00FF4B58">
        <w:rPr>
          <w:rFonts w:asciiTheme="minorHAnsi" w:eastAsiaTheme="minorHAnsi" w:hAnsiTheme="minorHAnsi"/>
          <w:sz w:val="21"/>
          <w:szCs w:val="21"/>
        </w:rPr>
        <w:t xml:space="preserve"> </w:t>
      </w:r>
      <w:r w:rsidR="00AE5D89" w:rsidRPr="00AE5D89">
        <w:rPr>
          <w:rFonts w:asciiTheme="minorHAnsi" w:eastAsiaTheme="minorHAnsi" w:hAnsiTheme="minorHAnsi"/>
          <w:sz w:val="21"/>
          <w:szCs w:val="21"/>
        </w:rPr>
        <w:t>the log holding period return from buying an n-year bond at time t and selling it as an n</w:t>
      </w:r>
      <w:r w:rsidR="00AE5D89">
        <w:rPr>
          <w:rFonts w:asciiTheme="minorHAnsi" w:eastAsiaTheme="minorHAnsi" w:hAnsiTheme="minorHAnsi"/>
          <w:sz w:val="21"/>
          <w:szCs w:val="21"/>
        </w:rPr>
        <w:t>-</w:t>
      </w:r>
      <w:r w:rsidR="00AE5D89" w:rsidRPr="00AE5D89">
        <w:rPr>
          <w:rFonts w:asciiTheme="minorHAnsi" w:eastAsiaTheme="minorHAnsi" w:hAnsiTheme="minorHAnsi"/>
          <w:sz w:val="21"/>
          <w:szCs w:val="21"/>
        </w:rPr>
        <w:t>1</w:t>
      </w:r>
      <w:r w:rsidR="00E647B0">
        <w:rPr>
          <w:rFonts w:asciiTheme="minorHAnsi" w:eastAsiaTheme="minorHAnsi" w:hAnsiTheme="minorHAnsi"/>
          <w:sz w:val="21"/>
          <w:szCs w:val="21"/>
        </w:rPr>
        <w:t>-</w:t>
      </w:r>
      <w:r w:rsidR="00AE5D89" w:rsidRPr="00AE5D89">
        <w:rPr>
          <w:rFonts w:asciiTheme="minorHAnsi" w:eastAsiaTheme="minorHAnsi" w:hAnsiTheme="minorHAnsi"/>
          <w:sz w:val="21"/>
          <w:szCs w:val="21"/>
        </w:rPr>
        <w:t>year bond at time t</w:t>
      </w:r>
      <w:r w:rsidR="00391B76">
        <w:rPr>
          <w:rFonts w:asciiTheme="minorHAnsi" w:eastAsiaTheme="minorHAnsi" w:hAnsiTheme="minorHAnsi"/>
          <w:sz w:val="21"/>
          <w:szCs w:val="21"/>
        </w:rPr>
        <w:t>+</w:t>
      </w:r>
      <w:r w:rsidR="00AE5D89" w:rsidRPr="00AE5D89">
        <w:rPr>
          <w:rFonts w:asciiTheme="minorHAnsi" w:eastAsiaTheme="minorHAnsi" w:hAnsiTheme="minorHAnsi"/>
          <w:sz w:val="21"/>
          <w:szCs w:val="21"/>
        </w:rPr>
        <w:t>1</w:t>
      </w:r>
    </w:p>
    <w:p w14:paraId="6121A502" w14:textId="4B8AC3EB" w:rsidR="006A64C1" w:rsidRPr="00FF4B58" w:rsidRDefault="006A64C1" w:rsidP="00F16CC9">
      <w:pPr>
        <w:pStyle w:val="a4"/>
        <w:spacing w:line="300" w:lineRule="auto"/>
        <w:rPr>
          <w:rFonts w:asciiTheme="minorHAnsi" w:eastAsiaTheme="minorHAnsi" w:hAnsiTheme="minorHAnsi" w:hint="eastAsia"/>
          <w:sz w:val="21"/>
          <w:szCs w:val="21"/>
        </w:rPr>
      </w:pPr>
      <m:oMath>
        <m:r>
          <w:rPr>
            <w:rFonts w:ascii="Cambria Math" w:eastAsiaTheme="minorHAnsi" w:hAnsi="Cambria Math"/>
            <w:sz w:val="21"/>
            <w:szCs w:val="21"/>
          </w:rPr>
          <m:t>r</m:t>
        </m:r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t+1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(n)</m:t>
            </m:r>
          </m:sup>
        </m:sSubSup>
        <m:r>
          <w:rPr>
            <w:rFonts w:ascii="Cambria Math" w:eastAsiaTheme="minorHAnsi" w:hAnsi="Cambria Math"/>
            <w:sz w:val="21"/>
            <w:szCs w:val="21"/>
          </w:rPr>
          <m:t>≡</m:t>
        </m:r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t+1</m:t>
            </m:r>
          </m:sub>
          <m:sup>
            <m:d>
              <m:dPr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n</m:t>
                </m:r>
              </m:e>
            </m:d>
          </m:sup>
        </m:sSubSup>
        <m:r>
          <w:rPr>
            <w:rFonts w:ascii="Cambria Math" w:eastAsiaTheme="minorHAnsi" w:hAnsi="Cambria Math"/>
            <w:sz w:val="21"/>
            <w:szCs w:val="21"/>
          </w:rPr>
          <m:t>-</m:t>
        </m:r>
        <m:sSubSup>
          <m:sSub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t</m:t>
            </m:r>
          </m:sub>
          <m:sup>
            <m:r>
              <w:rPr>
                <w:rFonts w:ascii="Cambria Math" w:eastAsiaTheme="minorHAnsi" w:hAnsi="Cambria Math"/>
                <w:sz w:val="21"/>
                <w:szCs w:val="21"/>
              </w:rPr>
              <m:t>(</m:t>
            </m:r>
            <m:r>
              <w:rPr>
                <w:rFonts w:ascii="Cambria Math" w:eastAsiaTheme="minorHAnsi" w:hAnsi="Cambria Math"/>
                <w:sz w:val="21"/>
                <w:szCs w:val="21"/>
              </w:rPr>
              <m:t>1</m:t>
            </m:r>
            <m:r>
              <w:rPr>
                <w:rFonts w:ascii="Cambria Math" w:eastAsiaTheme="minorHAnsi" w:hAnsi="Cambria Math"/>
                <w:sz w:val="21"/>
                <w:szCs w:val="21"/>
              </w:rPr>
              <m:t>)</m:t>
            </m:r>
          </m:sup>
        </m:sSubSup>
      </m:oMath>
      <w:r w:rsidR="00123DA8">
        <w:rPr>
          <w:rFonts w:asciiTheme="minorHAnsi" w:eastAsiaTheme="minorEastAsia" w:hAnsiTheme="minorHAnsi" w:hint="eastAsia"/>
          <w:sz w:val="21"/>
          <w:szCs w:val="21"/>
        </w:rPr>
        <w:t xml:space="preserve"> </w:t>
      </w:r>
      <w:r w:rsidR="00123DA8">
        <w:rPr>
          <w:rFonts w:asciiTheme="minorHAnsi" w:eastAsiaTheme="minorEastAsia" w:hAnsiTheme="minorHAnsi"/>
          <w:sz w:val="21"/>
          <w:szCs w:val="21"/>
        </w:rPr>
        <w:t xml:space="preserve"> .</w:t>
      </w:r>
      <w:r w:rsidR="00123DA8" w:rsidRPr="00123DA8">
        <w:rPr>
          <w:rFonts w:asciiTheme="minorHAnsi" w:eastAsiaTheme="minorHAnsi" w:hAnsiTheme="minorHAnsi"/>
          <w:sz w:val="21"/>
          <w:szCs w:val="21"/>
        </w:rPr>
        <w:t xml:space="preserve"> </w:t>
      </w:r>
      <w:r w:rsidR="00123DA8" w:rsidRPr="00FF4B58">
        <w:rPr>
          <w:rFonts w:asciiTheme="minorHAnsi" w:eastAsiaTheme="minorHAnsi" w:hAnsiTheme="minorHAnsi"/>
          <w:sz w:val="21"/>
          <w:szCs w:val="21"/>
        </w:rPr>
        <w:t>excess log returns</w:t>
      </w:r>
    </w:p>
    <w:p w14:paraId="3B54874E" w14:textId="2A15FDA0" w:rsidR="006A14F8" w:rsidRPr="00DF420D" w:rsidRDefault="00C2358A" w:rsidP="00F16CC9">
      <w:pPr>
        <w:pStyle w:val="a4"/>
        <w:spacing w:line="300" w:lineRule="auto"/>
        <w:rPr>
          <w:rFonts w:asciiTheme="minorHAnsi" w:eastAsiaTheme="minorEastAsia" w:hAnsiTheme="minorHAnsi"/>
          <w:sz w:val="21"/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Theme="minorHAnsi" w:hAnsi="Cambria Math" w:hint="eastAsia"/>
                  <w:sz w:val="21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t+1</m:t>
                  </m:r>
                </m:sub>
              </m:sSub>
            </m:e>
          </m:acc>
          <m:r>
            <w:rPr>
              <w:rFonts w:ascii="Cambria Math" w:eastAsiaTheme="minorHAnsi" w:hAnsi="Cambria Math"/>
              <w:sz w:val="21"/>
              <w:szCs w:val="21"/>
            </w:rPr>
            <m:t>≡</m:t>
          </m:r>
          <m:f>
            <m:fPr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sz w:val="21"/>
                  <w:szCs w:val="21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1"/>
                  <w:szCs w:val="21"/>
                </w:rPr>
                <m:t>n=2</m:t>
              </m:r>
            </m:sub>
            <m:sup>
              <m:r>
                <w:rPr>
                  <w:rFonts w:ascii="Cambria Math" w:eastAsiaTheme="minorHAnsi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r</m:t>
              </m:r>
            </m:e>
          </m:nary>
          <m:sSubSup>
            <m:sSubSupPr>
              <m:ctrlPr>
                <w:rPr>
                  <w:rFonts w:ascii="Cambria Math" w:eastAsiaTheme="minorHAnsi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1"/>
                  <w:szCs w:val="21"/>
                </w:rPr>
                <m:t>t+1</m:t>
              </m:r>
            </m:sub>
            <m:sup>
              <m:d>
                <m:dPr>
                  <m:ctrlPr>
                    <w:rPr>
                      <w:rFonts w:ascii="Cambria Math" w:eastAsiaTheme="minorHAnsi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1"/>
                      <w:szCs w:val="21"/>
                    </w:rPr>
                    <m:t>n</m:t>
                  </m:r>
                </m:e>
              </m:d>
            </m:sup>
          </m:sSubSup>
        </m:oMath>
      </m:oMathPara>
    </w:p>
    <w:p w14:paraId="28AF9C72" w14:textId="6B406DC8" w:rsidR="00DF420D" w:rsidRDefault="003861C7" w:rsidP="00F16CC9">
      <w:pPr>
        <w:pStyle w:val="a4"/>
        <w:spacing w:line="300" w:lineRule="auto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 wp14:anchorId="66929227" wp14:editId="3A911787">
            <wp:extent cx="2181885" cy="24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112" cy="2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666" w14:textId="03389000" w:rsidR="003861C7" w:rsidRPr="00FF4B58" w:rsidRDefault="003861C7" w:rsidP="00F16CC9">
      <w:pPr>
        <w:pStyle w:val="a4"/>
        <w:spacing w:line="300" w:lineRule="auto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 wp14:anchorId="2BF91383" wp14:editId="0BF30984">
            <wp:extent cx="2055136" cy="551538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931" cy="5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C7" w:rsidRPr="00FF4B58" w:rsidSect="00DC1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88"/>
    <w:rsid w:val="00053F88"/>
    <w:rsid w:val="001215C6"/>
    <w:rsid w:val="00123DA8"/>
    <w:rsid w:val="002D49A0"/>
    <w:rsid w:val="002E0748"/>
    <w:rsid w:val="00353779"/>
    <w:rsid w:val="003861C7"/>
    <w:rsid w:val="00391B76"/>
    <w:rsid w:val="004A0E47"/>
    <w:rsid w:val="004B1488"/>
    <w:rsid w:val="004F7E90"/>
    <w:rsid w:val="0053542D"/>
    <w:rsid w:val="00575C39"/>
    <w:rsid w:val="005C3FC5"/>
    <w:rsid w:val="005D26FC"/>
    <w:rsid w:val="00621F9B"/>
    <w:rsid w:val="00644461"/>
    <w:rsid w:val="00650CD7"/>
    <w:rsid w:val="00670B36"/>
    <w:rsid w:val="00687338"/>
    <w:rsid w:val="00697B1D"/>
    <w:rsid w:val="006A14F8"/>
    <w:rsid w:val="006A64C1"/>
    <w:rsid w:val="00783FF8"/>
    <w:rsid w:val="0079246A"/>
    <w:rsid w:val="007A2D90"/>
    <w:rsid w:val="0083027E"/>
    <w:rsid w:val="008354E1"/>
    <w:rsid w:val="00852C63"/>
    <w:rsid w:val="00870E95"/>
    <w:rsid w:val="008C0D0A"/>
    <w:rsid w:val="009146B3"/>
    <w:rsid w:val="00991DE9"/>
    <w:rsid w:val="009B27EB"/>
    <w:rsid w:val="00A63CBC"/>
    <w:rsid w:val="00A909B8"/>
    <w:rsid w:val="00AE5D89"/>
    <w:rsid w:val="00B12E5B"/>
    <w:rsid w:val="00BA4099"/>
    <w:rsid w:val="00C2358A"/>
    <w:rsid w:val="00D043B7"/>
    <w:rsid w:val="00D661F7"/>
    <w:rsid w:val="00DC14AF"/>
    <w:rsid w:val="00DC3BC2"/>
    <w:rsid w:val="00DC6E62"/>
    <w:rsid w:val="00DD01B9"/>
    <w:rsid w:val="00DF420D"/>
    <w:rsid w:val="00E16361"/>
    <w:rsid w:val="00E647B0"/>
    <w:rsid w:val="00E83F29"/>
    <w:rsid w:val="00EA6BEE"/>
    <w:rsid w:val="00F16CC9"/>
    <w:rsid w:val="00F64EC3"/>
    <w:rsid w:val="00F80D0A"/>
    <w:rsid w:val="00F9343F"/>
    <w:rsid w:val="00FC1523"/>
    <w:rsid w:val="00FC301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6F16F"/>
  <w15:chartTrackingRefBased/>
  <w15:docId w15:val="{D9537BC2-53BB-4544-AC07-997DE3CE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9A0"/>
    <w:rPr>
      <w:color w:val="808080"/>
    </w:rPr>
  </w:style>
  <w:style w:type="paragraph" w:styleId="a4">
    <w:name w:val="Normal (Web)"/>
    <w:basedOn w:val="a"/>
    <w:uiPriority w:val="99"/>
    <w:unhideWhenUsed/>
    <w:rsid w:val="002D4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belieberhr@163.com</dc:creator>
  <cp:keywords/>
  <dc:description/>
  <cp:lastModifiedBy>belieberhr@163.com</cp:lastModifiedBy>
  <cp:revision>80</cp:revision>
  <dcterms:created xsi:type="dcterms:W3CDTF">2020-11-28T06:53:00Z</dcterms:created>
  <dcterms:modified xsi:type="dcterms:W3CDTF">2020-11-28T15:14:00Z</dcterms:modified>
</cp:coreProperties>
</file>