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750BC">
      <w:pPr>
        <w:rPr>
          <w:rFonts w:ascii="仿宋_GB2312" w:eastAsia="仿宋_GB2312"/>
          <w:b/>
          <w:bCs/>
          <w:sz w:val="72"/>
          <w:szCs w:val="72"/>
        </w:rPr>
      </w:pPr>
      <w:r>
        <w:rPr>
          <w:rFonts w:hint="eastAsia" w:ascii="仿宋_GB2312" w:eastAsia="仿宋_GB2312" w:cs="仿宋_GB2312"/>
          <w:b/>
          <w:bCs/>
          <w:sz w:val="28"/>
          <w:szCs w:val="28"/>
        </w:rPr>
        <w:t>课程编号：</w:t>
      </w:r>
    </w:p>
    <w:p w14:paraId="7D6D5C7C">
      <w:pPr>
        <w:jc w:val="center"/>
        <w:rPr>
          <w:rFonts w:hint="eastAsia" w:ascii="仿宋_GB2312" w:eastAsia="仿宋_GB2312" w:cs="仿宋_GB2312"/>
          <w:b/>
          <w:bCs/>
          <w:sz w:val="72"/>
          <w:szCs w:val="72"/>
        </w:rPr>
      </w:pPr>
    </w:p>
    <w:p w14:paraId="7DF653E0">
      <w:pPr>
        <w:jc w:val="center"/>
        <w:rPr>
          <w:rFonts w:hint="eastAsia" w:ascii="仿宋_GB2312" w:eastAsia="仿宋_GB2312" w:cs="仿宋_GB2312"/>
          <w:b/>
          <w:bCs/>
          <w:sz w:val="72"/>
          <w:szCs w:val="72"/>
        </w:rPr>
      </w:pPr>
    </w:p>
    <w:p w14:paraId="0F811DC8">
      <w:pPr>
        <w:jc w:val="center"/>
        <w:rPr>
          <w:rFonts w:hint="default" w:ascii="仿宋_GB2312" w:eastAsia="仿宋_GB2312"/>
          <w:b/>
          <w:bCs/>
          <w:sz w:val="72"/>
          <w:szCs w:val="72"/>
          <w:lang w:val="en-US" w:eastAsia="zh-CN"/>
        </w:rPr>
      </w:pPr>
      <w:r>
        <w:rPr>
          <w:rFonts w:hint="eastAsia" w:ascii="仿宋_GB2312" w:eastAsia="仿宋_GB2312" w:cs="仿宋_GB2312"/>
          <w:b/>
          <w:bCs/>
          <w:sz w:val="72"/>
          <w:szCs w:val="72"/>
          <w:lang w:eastAsia="zh-CN"/>
        </w:rPr>
        <w:t>《</w:t>
      </w:r>
      <w:r>
        <w:rPr>
          <w:rFonts w:hint="eastAsia" w:ascii="仿宋_GB2312" w:eastAsia="仿宋_GB2312" w:cs="仿宋_GB2312"/>
          <w:b/>
          <w:bCs/>
          <w:sz w:val="72"/>
          <w:szCs w:val="72"/>
        </w:rPr>
        <w:t>开源</w:t>
      </w:r>
      <w:r>
        <w:rPr>
          <w:rFonts w:hint="eastAsia" w:ascii="仿宋_GB2312" w:eastAsia="仿宋_GB2312" w:cs="仿宋_GB2312"/>
          <w:b/>
          <w:bCs/>
          <w:sz w:val="72"/>
          <w:szCs w:val="72"/>
          <w:lang w:val="en-US" w:eastAsia="zh-CN"/>
        </w:rPr>
        <w:t>创新思维》</w:t>
      </w:r>
    </w:p>
    <w:p w14:paraId="67604145">
      <w:pPr>
        <w:jc w:val="center"/>
        <w:rPr>
          <w:rFonts w:ascii="仿宋_GB2312" w:eastAsia="仿宋_GB2312"/>
          <w:b/>
          <w:bCs/>
          <w:sz w:val="72"/>
          <w:szCs w:val="72"/>
        </w:rPr>
      </w:pPr>
      <w:r>
        <w:rPr>
          <w:rFonts w:hint="eastAsia" w:ascii="仿宋_GB2312" w:eastAsia="仿宋_GB2312" w:cs="仿宋_GB2312"/>
          <w:b/>
          <w:bCs/>
          <w:sz w:val="72"/>
          <w:szCs w:val="72"/>
        </w:rPr>
        <w:t>平时作业报告</w:t>
      </w:r>
    </w:p>
    <w:p w14:paraId="72B4D612">
      <w:pPr>
        <w:jc w:val="center"/>
        <w:rPr>
          <w:rFonts w:ascii="仿宋_GB2312" w:eastAsia="仿宋_GB2312"/>
          <w:b/>
          <w:bCs/>
          <w:sz w:val="52"/>
          <w:szCs w:val="52"/>
        </w:rPr>
      </w:pPr>
    </w:p>
    <w:p w14:paraId="1E8560DC">
      <w:pPr>
        <w:jc w:val="center"/>
        <w:rPr>
          <w:rFonts w:ascii="宋体"/>
          <w:sz w:val="28"/>
          <w:szCs w:val="28"/>
        </w:rPr>
      </w:pPr>
    </w:p>
    <w:p w14:paraId="1E615644">
      <w:pPr>
        <w:jc w:val="center"/>
        <w:rPr>
          <w:rFonts w:ascii="宋体"/>
          <w:sz w:val="28"/>
          <w:szCs w:val="28"/>
        </w:rPr>
      </w:pPr>
    </w:p>
    <w:p w14:paraId="27E03F4E">
      <w:pPr>
        <w:jc w:val="center"/>
        <w:rPr>
          <w:rFonts w:ascii="宋体"/>
          <w:sz w:val="28"/>
          <w:szCs w:val="28"/>
        </w:rPr>
      </w:pPr>
    </w:p>
    <w:p w14:paraId="0CE85110">
      <w:pPr>
        <w:jc w:val="center"/>
        <w:rPr>
          <w:rFonts w:ascii="宋体"/>
          <w:sz w:val="28"/>
          <w:szCs w:val="28"/>
        </w:rPr>
      </w:pPr>
    </w:p>
    <w:p w14:paraId="1C97CF4E">
      <w:pPr>
        <w:jc w:val="center"/>
        <w:rPr>
          <w:rFonts w:ascii="宋体"/>
          <w:sz w:val="28"/>
          <w:szCs w:val="28"/>
        </w:rPr>
      </w:pPr>
    </w:p>
    <w:p w14:paraId="7DE1962F">
      <w:pPr>
        <w:rPr>
          <w:rFonts w:ascii="仿宋_GB2312" w:eastAsia="仿宋_GB2312"/>
        </w:rPr>
      </w:pPr>
    </w:p>
    <w:p w14:paraId="08818189">
      <w:pPr>
        <w:rPr>
          <w:rFonts w:ascii="仿宋_GB2312" w:eastAsia="仿宋_GB2312"/>
        </w:rPr>
      </w:pPr>
    </w:p>
    <w:p w14:paraId="6B531FE3">
      <w:pPr>
        <w:rPr>
          <w:rFonts w:ascii="仿宋_GB2312" w:eastAsia="仿宋_GB2312"/>
        </w:rPr>
      </w:pPr>
    </w:p>
    <w:p w14:paraId="6EFB2D5D">
      <w:pPr>
        <w:rPr>
          <w:rFonts w:ascii="仿宋_GB2312" w:eastAsia="仿宋_GB2312"/>
        </w:rPr>
      </w:pPr>
    </w:p>
    <w:tbl>
      <w:tblPr>
        <w:tblStyle w:val="6"/>
        <w:tblW w:w="7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1"/>
        <w:gridCol w:w="1594"/>
        <w:gridCol w:w="56"/>
        <w:gridCol w:w="2145"/>
        <w:gridCol w:w="2183"/>
      </w:tblGrid>
      <w:tr w14:paraId="04EF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35084A30">
            <w:pPr>
              <w:jc w:val="distribute"/>
              <w:rPr>
                <w:rFonts w:ascii="仿宋" w:hAnsi="仿宋" w:eastAsia="仿宋"/>
                <w:b/>
                <w:bCs/>
                <w:sz w:val="24"/>
                <w:szCs w:val="24"/>
              </w:rPr>
            </w:pPr>
            <w:r>
              <w:rPr>
                <w:rFonts w:hint="eastAsia" w:ascii="仿宋" w:hAnsi="仿宋" w:eastAsia="仿宋" w:cs="仿宋"/>
                <w:b/>
                <w:bCs/>
                <w:sz w:val="24"/>
                <w:szCs w:val="24"/>
              </w:rPr>
              <w:t>姓</w:t>
            </w:r>
            <w:r>
              <w:rPr>
                <w:rFonts w:ascii="仿宋" w:hAnsi="仿宋" w:eastAsia="仿宋" w:cs="仿宋"/>
                <w:b/>
                <w:bCs/>
                <w:sz w:val="24"/>
                <w:szCs w:val="24"/>
              </w:rPr>
              <w:t xml:space="preserve">        </w:t>
            </w:r>
            <w:r>
              <w:rPr>
                <w:rFonts w:hint="eastAsia" w:ascii="仿宋" w:hAnsi="仿宋" w:eastAsia="仿宋" w:cs="仿宋"/>
                <w:b/>
                <w:bCs/>
                <w:sz w:val="24"/>
                <w:szCs w:val="24"/>
              </w:rPr>
              <w:t>名</w:t>
            </w:r>
          </w:p>
        </w:tc>
        <w:tc>
          <w:tcPr>
            <w:tcW w:w="1594" w:type="dxa"/>
            <w:vAlign w:val="center"/>
          </w:tcPr>
          <w:p w14:paraId="1A12E197">
            <w:pPr>
              <w:jc w:val="center"/>
              <w:rPr>
                <w:rFonts w:ascii="仿宋" w:hAnsi="仿宋" w:eastAsia="仿宋"/>
                <w:b/>
                <w:bCs/>
                <w:sz w:val="24"/>
                <w:szCs w:val="24"/>
              </w:rPr>
            </w:pPr>
          </w:p>
        </w:tc>
        <w:tc>
          <w:tcPr>
            <w:tcW w:w="2201" w:type="dxa"/>
            <w:gridSpan w:val="2"/>
            <w:vAlign w:val="center"/>
          </w:tcPr>
          <w:p w14:paraId="616522A3">
            <w:pPr>
              <w:jc w:val="right"/>
              <w:rPr>
                <w:rFonts w:ascii="仿宋" w:hAnsi="仿宋" w:eastAsia="仿宋"/>
                <w:b/>
                <w:bCs/>
                <w:sz w:val="24"/>
                <w:szCs w:val="24"/>
              </w:rPr>
            </w:pPr>
            <w:r>
              <w:rPr>
                <w:rFonts w:hint="eastAsia" w:ascii="仿宋" w:hAnsi="仿宋" w:eastAsia="仿宋" w:cs="仿宋"/>
                <w:b/>
                <w:bCs/>
                <w:spacing w:val="30"/>
                <w:kern w:val="0"/>
                <w:sz w:val="24"/>
                <w:szCs w:val="24"/>
              </w:rPr>
              <w:t>学</w:t>
            </w:r>
            <w:r>
              <w:rPr>
                <w:rFonts w:ascii="仿宋" w:hAnsi="仿宋" w:eastAsia="仿宋" w:cs="仿宋"/>
                <w:b/>
                <w:bCs/>
                <w:spacing w:val="30"/>
                <w:kern w:val="0"/>
                <w:sz w:val="24"/>
                <w:szCs w:val="24"/>
              </w:rPr>
              <w:t xml:space="preserve">       </w:t>
            </w:r>
            <w:r>
              <w:rPr>
                <w:rFonts w:hint="eastAsia" w:ascii="仿宋" w:hAnsi="仿宋" w:eastAsia="仿宋" w:cs="仿宋"/>
                <w:b/>
                <w:bCs/>
                <w:spacing w:val="45"/>
                <w:kern w:val="0"/>
                <w:sz w:val="24"/>
                <w:szCs w:val="24"/>
              </w:rPr>
              <w:t>号</w:t>
            </w:r>
          </w:p>
        </w:tc>
        <w:tc>
          <w:tcPr>
            <w:tcW w:w="2183" w:type="dxa"/>
            <w:vAlign w:val="center"/>
          </w:tcPr>
          <w:p w14:paraId="7FEEBDAC">
            <w:pPr>
              <w:jc w:val="center"/>
              <w:rPr>
                <w:rFonts w:ascii="仿宋" w:hAnsi="仿宋" w:eastAsia="仿宋"/>
                <w:b/>
                <w:bCs/>
                <w:sz w:val="24"/>
                <w:szCs w:val="24"/>
              </w:rPr>
            </w:pPr>
          </w:p>
        </w:tc>
      </w:tr>
      <w:tr w14:paraId="66C5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719C5919">
            <w:pPr>
              <w:wordWrap w:val="0"/>
              <w:jc w:val="distribute"/>
              <w:rPr>
                <w:rFonts w:ascii="仿宋" w:hAnsi="仿宋" w:eastAsia="仿宋"/>
                <w:b/>
                <w:bCs/>
                <w:sz w:val="24"/>
                <w:szCs w:val="24"/>
              </w:rPr>
            </w:pPr>
            <w:r>
              <w:rPr>
                <w:rFonts w:hint="eastAsia" w:ascii="仿宋" w:hAnsi="仿宋" w:eastAsia="仿宋" w:cs="仿宋"/>
                <w:b/>
                <w:bCs/>
                <w:sz w:val="24"/>
                <w:szCs w:val="24"/>
              </w:rPr>
              <w:t>班</w:t>
            </w:r>
            <w:r>
              <w:rPr>
                <w:rFonts w:ascii="仿宋" w:hAnsi="仿宋" w:eastAsia="仿宋" w:cs="仿宋"/>
                <w:b/>
                <w:bCs/>
                <w:sz w:val="24"/>
                <w:szCs w:val="24"/>
              </w:rPr>
              <w:t xml:space="preserve">        </w:t>
            </w:r>
            <w:r>
              <w:rPr>
                <w:rFonts w:hint="eastAsia" w:ascii="仿宋" w:hAnsi="仿宋" w:eastAsia="仿宋" w:cs="仿宋"/>
                <w:b/>
                <w:bCs/>
                <w:sz w:val="24"/>
                <w:szCs w:val="24"/>
              </w:rPr>
              <w:t>级</w:t>
            </w:r>
          </w:p>
        </w:tc>
        <w:tc>
          <w:tcPr>
            <w:tcW w:w="1594" w:type="dxa"/>
            <w:vAlign w:val="center"/>
          </w:tcPr>
          <w:p w14:paraId="1612FE55">
            <w:pPr>
              <w:jc w:val="center"/>
              <w:rPr>
                <w:rFonts w:ascii="仿宋" w:hAnsi="仿宋" w:eastAsia="仿宋"/>
                <w:b/>
                <w:bCs/>
                <w:sz w:val="24"/>
                <w:szCs w:val="24"/>
              </w:rPr>
            </w:pPr>
          </w:p>
        </w:tc>
        <w:tc>
          <w:tcPr>
            <w:tcW w:w="2201" w:type="dxa"/>
            <w:gridSpan w:val="2"/>
            <w:vAlign w:val="center"/>
          </w:tcPr>
          <w:p w14:paraId="71B3CC3B">
            <w:pPr>
              <w:jc w:val="right"/>
              <w:rPr>
                <w:rFonts w:ascii="仿宋" w:hAnsi="仿宋" w:eastAsia="仿宋"/>
                <w:b/>
                <w:bCs/>
                <w:sz w:val="24"/>
                <w:szCs w:val="24"/>
              </w:rPr>
            </w:pPr>
            <w:r>
              <w:rPr>
                <w:rFonts w:hint="eastAsia" w:ascii="仿宋" w:hAnsi="仿宋" w:eastAsia="仿宋" w:cs="仿宋"/>
                <w:b/>
                <w:bCs/>
                <w:spacing w:val="50"/>
                <w:kern w:val="0"/>
                <w:sz w:val="24"/>
                <w:szCs w:val="24"/>
              </w:rPr>
              <w:t>指</w:t>
            </w:r>
            <w:r>
              <w:rPr>
                <w:rFonts w:ascii="仿宋" w:hAnsi="仿宋" w:eastAsia="仿宋" w:cs="仿宋"/>
                <w:b/>
                <w:bCs/>
                <w:spacing w:val="50"/>
                <w:kern w:val="0"/>
                <w:sz w:val="24"/>
                <w:szCs w:val="24"/>
              </w:rPr>
              <w:t xml:space="preserve"> </w:t>
            </w:r>
            <w:r>
              <w:rPr>
                <w:rFonts w:hint="eastAsia" w:ascii="仿宋" w:hAnsi="仿宋" w:eastAsia="仿宋" w:cs="仿宋"/>
                <w:b/>
                <w:bCs/>
                <w:spacing w:val="50"/>
                <w:kern w:val="0"/>
                <w:sz w:val="24"/>
                <w:szCs w:val="24"/>
              </w:rPr>
              <w:t>导</w:t>
            </w:r>
            <w:r>
              <w:rPr>
                <w:rFonts w:ascii="仿宋" w:hAnsi="仿宋" w:eastAsia="仿宋" w:cs="仿宋"/>
                <w:b/>
                <w:bCs/>
                <w:spacing w:val="50"/>
                <w:kern w:val="0"/>
                <w:sz w:val="24"/>
                <w:szCs w:val="24"/>
              </w:rPr>
              <w:t xml:space="preserve"> </w:t>
            </w:r>
            <w:r>
              <w:rPr>
                <w:rFonts w:hint="eastAsia" w:ascii="仿宋" w:hAnsi="仿宋" w:eastAsia="仿宋" w:cs="仿宋"/>
                <w:b/>
                <w:bCs/>
                <w:spacing w:val="50"/>
                <w:kern w:val="0"/>
                <w:sz w:val="24"/>
                <w:szCs w:val="24"/>
              </w:rPr>
              <w:t>教</w:t>
            </w:r>
            <w:r>
              <w:rPr>
                <w:rFonts w:ascii="仿宋" w:hAnsi="仿宋" w:eastAsia="仿宋" w:cs="仿宋"/>
                <w:b/>
                <w:bCs/>
                <w:spacing w:val="50"/>
                <w:kern w:val="0"/>
                <w:sz w:val="24"/>
                <w:szCs w:val="24"/>
              </w:rPr>
              <w:t xml:space="preserve"> </w:t>
            </w:r>
            <w:r>
              <w:rPr>
                <w:rFonts w:hint="eastAsia" w:ascii="仿宋" w:hAnsi="仿宋" w:eastAsia="仿宋" w:cs="仿宋"/>
                <w:b/>
                <w:bCs/>
                <w:spacing w:val="1"/>
                <w:kern w:val="0"/>
                <w:sz w:val="24"/>
                <w:szCs w:val="24"/>
              </w:rPr>
              <w:t>师</w:t>
            </w:r>
          </w:p>
        </w:tc>
        <w:tc>
          <w:tcPr>
            <w:tcW w:w="2183" w:type="dxa"/>
            <w:vAlign w:val="center"/>
          </w:tcPr>
          <w:p w14:paraId="19AEECF8">
            <w:pPr>
              <w:jc w:val="center"/>
              <w:rPr>
                <w:rFonts w:hint="eastAsia" w:ascii="仿宋" w:hAnsi="仿宋" w:eastAsia="仿宋"/>
                <w:b/>
                <w:bCs/>
                <w:sz w:val="24"/>
                <w:szCs w:val="24"/>
                <w:lang w:eastAsia="zh-CN"/>
              </w:rPr>
            </w:pPr>
            <w:r>
              <w:rPr>
                <w:rFonts w:hint="eastAsia" w:ascii="仿宋" w:hAnsi="仿宋" w:eastAsia="仿宋" w:cs="仿宋"/>
                <w:b/>
                <w:bCs/>
                <w:sz w:val="24"/>
                <w:szCs w:val="24"/>
                <w:lang w:val="en-US" w:eastAsia="zh-CN"/>
              </w:rPr>
              <w:t>祝欣蓉</w:t>
            </w:r>
          </w:p>
        </w:tc>
      </w:tr>
      <w:tr w14:paraId="42BD8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61" w:type="dxa"/>
            <w:vAlign w:val="center"/>
          </w:tcPr>
          <w:p w14:paraId="49391E54">
            <w:pPr>
              <w:jc w:val="distribute"/>
              <w:rPr>
                <w:rFonts w:ascii="仿宋" w:hAnsi="仿宋" w:eastAsia="仿宋"/>
                <w:b/>
                <w:bCs/>
                <w:sz w:val="24"/>
                <w:szCs w:val="24"/>
              </w:rPr>
            </w:pPr>
            <w:r>
              <w:rPr>
                <w:rFonts w:hint="eastAsia" w:ascii="仿宋" w:hAnsi="仿宋" w:eastAsia="仿宋" w:cs="仿宋"/>
                <w:b/>
                <w:bCs/>
                <w:sz w:val="24"/>
                <w:szCs w:val="24"/>
              </w:rPr>
              <w:t>开</w:t>
            </w:r>
            <w:r>
              <w:rPr>
                <w:rFonts w:ascii="仿宋" w:hAnsi="仿宋" w:eastAsia="仿宋" w:cs="仿宋"/>
                <w:b/>
                <w:bCs/>
                <w:sz w:val="24"/>
                <w:szCs w:val="24"/>
              </w:rPr>
              <w:t xml:space="preserve"> </w:t>
            </w:r>
            <w:r>
              <w:rPr>
                <w:rFonts w:hint="eastAsia" w:ascii="仿宋" w:hAnsi="仿宋" w:eastAsia="仿宋" w:cs="仿宋"/>
                <w:b/>
                <w:bCs/>
                <w:sz w:val="24"/>
                <w:szCs w:val="24"/>
              </w:rPr>
              <w:t>设</w:t>
            </w:r>
            <w:r>
              <w:rPr>
                <w:rFonts w:ascii="仿宋" w:hAnsi="仿宋" w:eastAsia="仿宋" w:cs="仿宋"/>
                <w:b/>
                <w:bCs/>
                <w:sz w:val="24"/>
                <w:szCs w:val="24"/>
              </w:rPr>
              <w:t xml:space="preserve">  </w:t>
            </w:r>
            <w:r>
              <w:rPr>
                <w:rFonts w:hint="eastAsia" w:ascii="仿宋" w:hAnsi="仿宋" w:eastAsia="仿宋" w:cs="仿宋"/>
                <w:b/>
                <w:bCs/>
                <w:sz w:val="24"/>
                <w:szCs w:val="24"/>
              </w:rPr>
              <w:t>学</w:t>
            </w:r>
            <w:r>
              <w:rPr>
                <w:rFonts w:ascii="仿宋" w:hAnsi="仿宋" w:eastAsia="仿宋" w:cs="仿宋"/>
                <w:b/>
                <w:bCs/>
                <w:sz w:val="24"/>
                <w:szCs w:val="24"/>
              </w:rPr>
              <w:t xml:space="preserve"> </w:t>
            </w:r>
            <w:r>
              <w:rPr>
                <w:rFonts w:hint="eastAsia" w:ascii="仿宋" w:hAnsi="仿宋" w:eastAsia="仿宋" w:cs="仿宋"/>
                <w:b/>
                <w:bCs/>
                <w:sz w:val="24"/>
                <w:szCs w:val="24"/>
              </w:rPr>
              <w:t>期</w:t>
            </w:r>
          </w:p>
        </w:tc>
        <w:tc>
          <w:tcPr>
            <w:tcW w:w="5978" w:type="dxa"/>
            <w:gridSpan w:val="4"/>
            <w:vAlign w:val="center"/>
          </w:tcPr>
          <w:p w14:paraId="2F4D4785">
            <w:pPr>
              <w:jc w:val="center"/>
              <w:rPr>
                <w:rFonts w:ascii="仿宋" w:hAnsi="仿宋" w:eastAsia="仿宋"/>
                <w:b/>
                <w:bCs/>
                <w:sz w:val="24"/>
                <w:szCs w:val="24"/>
              </w:rPr>
            </w:pPr>
            <w:r>
              <w:rPr>
                <w:rFonts w:ascii="仿宋" w:hAnsi="仿宋" w:eastAsia="仿宋" w:cs="仿宋"/>
                <w:b/>
                <w:bCs/>
                <w:spacing w:val="51"/>
                <w:kern w:val="0"/>
                <w:sz w:val="24"/>
                <w:szCs w:val="24"/>
                <w:fitText w:val="2892" w:id="1715366501"/>
              </w:rPr>
              <w:t>20</w:t>
            </w:r>
            <w:r>
              <w:rPr>
                <w:rFonts w:hint="eastAsia" w:ascii="仿宋" w:hAnsi="仿宋" w:eastAsia="仿宋" w:cs="仿宋"/>
                <w:b/>
                <w:bCs/>
                <w:spacing w:val="51"/>
                <w:kern w:val="0"/>
                <w:sz w:val="24"/>
                <w:szCs w:val="24"/>
                <w:fitText w:val="2892" w:id="1715366501"/>
                <w:lang w:val="en-US" w:eastAsia="zh-CN"/>
              </w:rPr>
              <w:t>26</w:t>
            </w:r>
            <w:r>
              <w:rPr>
                <w:rFonts w:ascii="仿宋" w:hAnsi="仿宋" w:eastAsia="仿宋" w:cs="仿宋"/>
                <w:b/>
                <w:bCs/>
                <w:spacing w:val="51"/>
                <w:kern w:val="0"/>
                <w:sz w:val="24"/>
                <w:szCs w:val="24"/>
                <w:fitText w:val="2892" w:id="1715366501"/>
              </w:rPr>
              <w:t>-20</w:t>
            </w:r>
            <w:r>
              <w:rPr>
                <w:rFonts w:hint="eastAsia" w:ascii="仿宋" w:hAnsi="仿宋" w:eastAsia="仿宋" w:cs="仿宋"/>
                <w:b/>
                <w:bCs/>
                <w:spacing w:val="51"/>
                <w:kern w:val="0"/>
                <w:sz w:val="24"/>
                <w:szCs w:val="24"/>
                <w:fitText w:val="2892" w:id="1715366501"/>
                <w:lang w:val="en-US" w:eastAsia="zh-CN"/>
              </w:rPr>
              <w:t>27</w:t>
            </w:r>
            <w:r>
              <w:rPr>
                <w:rFonts w:hint="eastAsia" w:ascii="仿宋" w:hAnsi="仿宋" w:eastAsia="仿宋" w:cs="仿宋"/>
                <w:b/>
                <w:bCs/>
                <w:spacing w:val="51"/>
                <w:kern w:val="0"/>
                <w:sz w:val="24"/>
                <w:szCs w:val="24"/>
                <w:fitText w:val="2892" w:id="1715366501"/>
              </w:rPr>
              <w:t>秋季学</w:t>
            </w:r>
            <w:r>
              <w:rPr>
                <w:rFonts w:hint="eastAsia" w:ascii="仿宋" w:hAnsi="仿宋" w:eastAsia="仿宋" w:cs="仿宋"/>
                <w:b/>
                <w:bCs/>
                <w:spacing w:val="0"/>
                <w:kern w:val="0"/>
                <w:sz w:val="24"/>
                <w:szCs w:val="24"/>
                <w:fitText w:val="2892" w:id="1715366501"/>
              </w:rPr>
              <w:t>期</w:t>
            </w:r>
          </w:p>
        </w:tc>
      </w:tr>
      <w:tr w14:paraId="3CAFD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7CBDA2F8">
            <w:pPr>
              <w:jc w:val="distribute"/>
              <w:rPr>
                <w:rFonts w:ascii="仿宋" w:hAnsi="仿宋" w:eastAsia="仿宋"/>
                <w:b/>
                <w:bCs/>
                <w:sz w:val="24"/>
                <w:szCs w:val="24"/>
              </w:rPr>
            </w:pPr>
            <w:r>
              <w:rPr>
                <w:rFonts w:hint="eastAsia" w:ascii="仿宋" w:hAnsi="仿宋" w:eastAsia="仿宋" w:cs="仿宋"/>
                <w:b/>
                <w:bCs/>
                <w:sz w:val="24"/>
                <w:szCs w:val="24"/>
              </w:rPr>
              <w:t>开</w:t>
            </w:r>
            <w:r>
              <w:rPr>
                <w:rFonts w:ascii="仿宋" w:hAnsi="仿宋" w:eastAsia="仿宋" w:cs="仿宋"/>
                <w:b/>
                <w:bCs/>
                <w:sz w:val="24"/>
                <w:szCs w:val="24"/>
              </w:rPr>
              <w:t xml:space="preserve"> </w:t>
            </w:r>
            <w:r>
              <w:rPr>
                <w:rFonts w:hint="eastAsia" w:ascii="仿宋" w:hAnsi="仿宋" w:eastAsia="仿宋" w:cs="仿宋"/>
                <w:b/>
                <w:bCs/>
                <w:sz w:val="24"/>
                <w:szCs w:val="24"/>
              </w:rPr>
              <w:t>设</w:t>
            </w:r>
            <w:r>
              <w:rPr>
                <w:rFonts w:ascii="仿宋" w:hAnsi="仿宋" w:eastAsia="仿宋" w:cs="仿宋"/>
                <w:b/>
                <w:bCs/>
                <w:sz w:val="24"/>
                <w:szCs w:val="24"/>
              </w:rPr>
              <w:t xml:space="preserve">  </w:t>
            </w:r>
            <w:r>
              <w:rPr>
                <w:rFonts w:hint="eastAsia" w:ascii="仿宋" w:hAnsi="仿宋" w:eastAsia="仿宋" w:cs="仿宋"/>
                <w:b/>
                <w:bCs/>
                <w:sz w:val="24"/>
                <w:szCs w:val="24"/>
              </w:rPr>
              <w:t>时</w:t>
            </w:r>
            <w:r>
              <w:rPr>
                <w:rFonts w:ascii="仿宋" w:hAnsi="仿宋" w:eastAsia="仿宋" w:cs="仿宋"/>
                <w:b/>
                <w:bCs/>
                <w:sz w:val="24"/>
                <w:szCs w:val="24"/>
              </w:rPr>
              <w:t xml:space="preserve"> </w:t>
            </w:r>
            <w:r>
              <w:rPr>
                <w:rFonts w:hint="eastAsia" w:ascii="仿宋" w:hAnsi="仿宋" w:eastAsia="仿宋" w:cs="仿宋"/>
                <w:b/>
                <w:bCs/>
                <w:sz w:val="24"/>
                <w:szCs w:val="24"/>
              </w:rPr>
              <w:t>间</w:t>
            </w:r>
          </w:p>
        </w:tc>
        <w:tc>
          <w:tcPr>
            <w:tcW w:w="5978" w:type="dxa"/>
            <w:gridSpan w:val="4"/>
            <w:vAlign w:val="center"/>
          </w:tcPr>
          <w:p w14:paraId="1221FB3C">
            <w:pPr>
              <w:jc w:val="center"/>
              <w:rPr>
                <w:rFonts w:ascii="仿宋" w:hAnsi="仿宋" w:eastAsia="仿宋"/>
                <w:b/>
                <w:bCs/>
                <w:sz w:val="24"/>
                <w:szCs w:val="24"/>
              </w:rPr>
            </w:pPr>
            <w:r>
              <w:rPr>
                <w:rFonts w:hint="eastAsia" w:ascii="仿宋" w:hAnsi="仿宋" w:eastAsia="仿宋" w:cs="仿宋"/>
                <w:b/>
                <w:bCs/>
                <w:spacing w:val="65"/>
                <w:kern w:val="0"/>
                <w:sz w:val="24"/>
                <w:szCs w:val="24"/>
                <w:fitText w:val="2892" w:id="1"/>
              </w:rPr>
              <w:t>第</w:t>
            </w:r>
            <w:r>
              <w:rPr>
                <w:rFonts w:hint="eastAsia" w:ascii="仿宋" w:hAnsi="仿宋" w:eastAsia="仿宋" w:cs="仿宋"/>
                <w:b/>
                <w:bCs/>
                <w:spacing w:val="65"/>
                <w:kern w:val="0"/>
                <w:sz w:val="24"/>
                <w:szCs w:val="24"/>
                <w:fitText w:val="2892" w:id="1"/>
                <w:lang w:val="en-US" w:eastAsia="zh-CN"/>
              </w:rPr>
              <w:t>1</w:t>
            </w:r>
            <w:r>
              <w:rPr>
                <w:rFonts w:hint="eastAsia" w:ascii="仿宋" w:hAnsi="仿宋" w:eastAsia="仿宋" w:cs="仿宋"/>
                <w:b/>
                <w:bCs/>
                <w:spacing w:val="65"/>
                <w:kern w:val="0"/>
                <w:sz w:val="24"/>
                <w:szCs w:val="24"/>
                <w:fitText w:val="2892" w:id="1"/>
              </w:rPr>
              <w:t>周</w:t>
            </w:r>
            <w:r>
              <w:rPr>
                <w:rFonts w:ascii="仿宋" w:hAnsi="仿宋" w:eastAsia="仿宋" w:cs="仿宋"/>
                <w:b/>
                <w:bCs/>
                <w:spacing w:val="65"/>
                <w:kern w:val="0"/>
                <w:sz w:val="24"/>
                <w:szCs w:val="24"/>
                <w:fitText w:val="2892" w:id="1"/>
              </w:rPr>
              <w:t>——</w:t>
            </w:r>
            <w:r>
              <w:rPr>
                <w:rFonts w:hint="eastAsia" w:ascii="仿宋" w:hAnsi="仿宋" w:eastAsia="仿宋" w:cs="仿宋"/>
                <w:b/>
                <w:bCs/>
                <w:spacing w:val="65"/>
                <w:kern w:val="0"/>
                <w:sz w:val="24"/>
                <w:szCs w:val="24"/>
                <w:fitText w:val="2892" w:id="1"/>
              </w:rPr>
              <w:t>第</w:t>
            </w:r>
            <w:r>
              <w:rPr>
                <w:rFonts w:hint="eastAsia" w:ascii="仿宋" w:hAnsi="仿宋" w:eastAsia="仿宋" w:cs="仿宋"/>
                <w:b/>
                <w:bCs/>
                <w:spacing w:val="65"/>
                <w:kern w:val="0"/>
                <w:sz w:val="24"/>
                <w:szCs w:val="24"/>
                <w:fitText w:val="2892" w:id="1"/>
                <w:lang w:val="en-US" w:eastAsia="zh-CN"/>
              </w:rPr>
              <w:t>16</w:t>
            </w:r>
            <w:bookmarkStart w:id="0" w:name="_GoBack"/>
            <w:bookmarkEnd w:id="0"/>
            <w:r>
              <w:rPr>
                <w:rFonts w:hint="eastAsia" w:ascii="仿宋" w:hAnsi="仿宋" w:eastAsia="仿宋" w:cs="仿宋"/>
                <w:b/>
                <w:bCs/>
                <w:spacing w:val="3"/>
                <w:kern w:val="0"/>
                <w:sz w:val="24"/>
                <w:szCs w:val="24"/>
                <w:fitText w:val="2892" w:id="1"/>
              </w:rPr>
              <w:t>周</w:t>
            </w:r>
          </w:p>
        </w:tc>
      </w:tr>
      <w:tr w14:paraId="51E73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61" w:type="dxa"/>
            <w:vAlign w:val="center"/>
          </w:tcPr>
          <w:p w14:paraId="4127BB84">
            <w:pPr>
              <w:wordWrap w:val="0"/>
              <w:jc w:val="distribute"/>
              <w:rPr>
                <w:rFonts w:ascii="仿宋" w:hAnsi="仿宋" w:eastAsia="仿宋"/>
                <w:b/>
                <w:bCs/>
                <w:sz w:val="24"/>
                <w:szCs w:val="24"/>
              </w:rPr>
            </w:pPr>
            <w:r>
              <w:rPr>
                <w:rFonts w:hint="eastAsia" w:ascii="仿宋" w:hAnsi="仿宋" w:eastAsia="仿宋" w:cs="仿宋"/>
                <w:b/>
                <w:bCs/>
                <w:sz w:val="24"/>
                <w:szCs w:val="24"/>
              </w:rPr>
              <w:t>报告日期</w:t>
            </w:r>
          </w:p>
        </w:tc>
        <w:tc>
          <w:tcPr>
            <w:tcW w:w="5978" w:type="dxa"/>
            <w:gridSpan w:val="4"/>
            <w:vAlign w:val="center"/>
          </w:tcPr>
          <w:p w14:paraId="2C519C55">
            <w:pPr>
              <w:jc w:val="center"/>
              <w:rPr>
                <w:rFonts w:ascii="仿宋" w:hAnsi="仿宋" w:eastAsia="仿宋"/>
                <w:b/>
                <w:bCs/>
                <w:sz w:val="24"/>
                <w:szCs w:val="24"/>
              </w:rPr>
            </w:pPr>
          </w:p>
        </w:tc>
      </w:tr>
      <w:tr w14:paraId="4D61B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jc w:val="center"/>
        </w:trPr>
        <w:tc>
          <w:tcPr>
            <w:tcW w:w="1961" w:type="dxa"/>
            <w:vMerge w:val="restart"/>
            <w:vAlign w:val="center"/>
          </w:tcPr>
          <w:p w14:paraId="2E95CE6D">
            <w:pPr>
              <w:jc w:val="distribute"/>
              <w:rPr>
                <w:rFonts w:ascii="仿宋" w:hAnsi="仿宋" w:eastAsia="仿宋"/>
                <w:b/>
                <w:bCs/>
                <w:sz w:val="24"/>
                <w:szCs w:val="24"/>
              </w:rPr>
            </w:pPr>
            <w:r>
              <w:rPr>
                <w:rFonts w:hint="eastAsia" w:ascii="仿宋" w:hAnsi="仿宋" w:eastAsia="仿宋" w:cs="仿宋"/>
                <w:b/>
                <w:bCs/>
                <w:sz w:val="24"/>
                <w:szCs w:val="24"/>
              </w:rPr>
              <w:t>评</w:t>
            </w:r>
            <w:r>
              <w:rPr>
                <w:rFonts w:ascii="仿宋" w:hAnsi="仿宋" w:eastAsia="仿宋" w:cs="仿宋"/>
                <w:b/>
                <w:bCs/>
                <w:sz w:val="24"/>
                <w:szCs w:val="24"/>
              </w:rPr>
              <w:t xml:space="preserve"> </w:t>
            </w:r>
            <w:r>
              <w:rPr>
                <w:rFonts w:hint="eastAsia" w:ascii="仿宋" w:hAnsi="仿宋" w:eastAsia="仿宋" w:cs="仿宋"/>
                <w:b/>
                <w:bCs/>
                <w:sz w:val="24"/>
                <w:szCs w:val="24"/>
              </w:rPr>
              <w:t>定</w:t>
            </w:r>
            <w:r>
              <w:rPr>
                <w:rFonts w:ascii="仿宋" w:hAnsi="仿宋" w:eastAsia="仿宋" w:cs="仿宋"/>
                <w:b/>
                <w:bCs/>
                <w:sz w:val="24"/>
                <w:szCs w:val="24"/>
              </w:rPr>
              <w:t xml:space="preserve">  </w:t>
            </w:r>
            <w:r>
              <w:rPr>
                <w:rFonts w:hint="eastAsia" w:ascii="仿宋" w:hAnsi="仿宋" w:eastAsia="仿宋" w:cs="仿宋"/>
                <w:b/>
                <w:bCs/>
                <w:sz w:val="24"/>
                <w:szCs w:val="24"/>
              </w:rPr>
              <w:t>成</w:t>
            </w:r>
            <w:r>
              <w:rPr>
                <w:rFonts w:ascii="仿宋" w:hAnsi="仿宋" w:eastAsia="仿宋" w:cs="仿宋"/>
                <w:b/>
                <w:bCs/>
                <w:sz w:val="24"/>
                <w:szCs w:val="24"/>
              </w:rPr>
              <w:t xml:space="preserve"> </w:t>
            </w:r>
            <w:r>
              <w:rPr>
                <w:rFonts w:hint="eastAsia" w:ascii="仿宋" w:hAnsi="仿宋" w:eastAsia="仿宋" w:cs="仿宋"/>
                <w:b/>
                <w:bCs/>
                <w:sz w:val="24"/>
                <w:szCs w:val="24"/>
              </w:rPr>
              <w:t>绩</w:t>
            </w:r>
          </w:p>
        </w:tc>
        <w:tc>
          <w:tcPr>
            <w:tcW w:w="1650" w:type="dxa"/>
            <w:gridSpan w:val="2"/>
            <w:vMerge w:val="restart"/>
            <w:vAlign w:val="center"/>
          </w:tcPr>
          <w:p w14:paraId="441CE6CB">
            <w:pPr>
              <w:jc w:val="center"/>
              <w:rPr>
                <w:rFonts w:ascii="仿宋" w:hAnsi="仿宋" w:eastAsia="仿宋"/>
                <w:b/>
                <w:bCs/>
                <w:sz w:val="24"/>
                <w:szCs w:val="24"/>
              </w:rPr>
            </w:pPr>
          </w:p>
        </w:tc>
        <w:tc>
          <w:tcPr>
            <w:tcW w:w="2145" w:type="dxa"/>
            <w:vAlign w:val="center"/>
          </w:tcPr>
          <w:p w14:paraId="23CEC041">
            <w:pPr>
              <w:jc w:val="right"/>
              <w:rPr>
                <w:rFonts w:ascii="仿宋" w:hAnsi="仿宋" w:eastAsia="仿宋"/>
                <w:b/>
                <w:bCs/>
                <w:sz w:val="24"/>
                <w:szCs w:val="24"/>
              </w:rPr>
            </w:pPr>
            <w:r>
              <w:rPr>
                <w:rFonts w:hint="eastAsia" w:ascii="仿宋" w:hAnsi="仿宋" w:eastAsia="仿宋" w:cs="仿宋"/>
                <w:b/>
                <w:bCs/>
                <w:spacing w:val="302"/>
                <w:kern w:val="0"/>
                <w:sz w:val="24"/>
                <w:szCs w:val="24"/>
                <w:fitText w:val="1928" w:id="2"/>
              </w:rPr>
              <w:t>评定</w:t>
            </w:r>
            <w:r>
              <w:rPr>
                <w:rFonts w:hint="eastAsia" w:ascii="仿宋" w:hAnsi="仿宋" w:eastAsia="仿宋" w:cs="仿宋"/>
                <w:b/>
                <w:bCs/>
                <w:spacing w:val="0"/>
                <w:kern w:val="0"/>
                <w:sz w:val="24"/>
                <w:szCs w:val="24"/>
                <w:fitText w:val="1928" w:id="2"/>
              </w:rPr>
              <w:t>人</w:t>
            </w:r>
          </w:p>
        </w:tc>
        <w:tc>
          <w:tcPr>
            <w:tcW w:w="2183" w:type="dxa"/>
            <w:vAlign w:val="center"/>
          </w:tcPr>
          <w:p w14:paraId="4DB25488">
            <w:pPr>
              <w:jc w:val="center"/>
              <w:rPr>
                <w:rFonts w:hint="eastAsia" w:ascii="仿宋" w:hAnsi="仿宋" w:eastAsia="仿宋"/>
                <w:b/>
                <w:bCs/>
                <w:sz w:val="24"/>
                <w:szCs w:val="24"/>
                <w:lang w:eastAsia="zh-CN"/>
              </w:rPr>
            </w:pPr>
            <w:r>
              <w:rPr>
                <w:rFonts w:hint="eastAsia" w:ascii="仿宋" w:hAnsi="仿宋" w:eastAsia="仿宋" w:cs="仿宋"/>
                <w:b/>
                <w:bCs/>
                <w:sz w:val="24"/>
                <w:szCs w:val="24"/>
                <w:lang w:val="en-US" w:eastAsia="zh-CN"/>
              </w:rPr>
              <w:t>祝欣蓉</w:t>
            </w:r>
          </w:p>
        </w:tc>
      </w:tr>
      <w:tr w14:paraId="4866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jc w:val="center"/>
        </w:trPr>
        <w:tc>
          <w:tcPr>
            <w:tcW w:w="1961" w:type="dxa"/>
            <w:vMerge w:val="continue"/>
            <w:vAlign w:val="center"/>
          </w:tcPr>
          <w:p w14:paraId="383DB938">
            <w:pPr>
              <w:jc w:val="right"/>
              <w:rPr>
                <w:rFonts w:ascii="仿宋" w:hAnsi="仿宋" w:eastAsia="仿宋"/>
                <w:b/>
                <w:bCs/>
                <w:sz w:val="24"/>
                <w:szCs w:val="24"/>
              </w:rPr>
            </w:pPr>
          </w:p>
        </w:tc>
        <w:tc>
          <w:tcPr>
            <w:tcW w:w="1650" w:type="dxa"/>
            <w:gridSpan w:val="2"/>
            <w:vMerge w:val="continue"/>
            <w:vAlign w:val="center"/>
          </w:tcPr>
          <w:p w14:paraId="32F758F6">
            <w:pPr>
              <w:jc w:val="center"/>
              <w:rPr>
                <w:rFonts w:ascii="仿宋" w:hAnsi="仿宋" w:eastAsia="仿宋"/>
                <w:b/>
                <w:bCs/>
                <w:sz w:val="24"/>
                <w:szCs w:val="24"/>
              </w:rPr>
            </w:pPr>
          </w:p>
        </w:tc>
        <w:tc>
          <w:tcPr>
            <w:tcW w:w="2145" w:type="dxa"/>
            <w:vAlign w:val="center"/>
          </w:tcPr>
          <w:p w14:paraId="561C9102">
            <w:pPr>
              <w:jc w:val="center"/>
              <w:rPr>
                <w:rFonts w:ascii="仿宋" w:hAnsi="仿宋" w:eastAsia="仿宋"/>
                <w:b/>
                <w:bCs/>
                <w:sz w:val="24"/>
                <w:szCs w:val="24"/>
              </w:rPr>
            </w:pPr>
            <w:r>
              <w:rPr>
                <w:rFonts w:hint="eastAsia" w:ascii="仿宋" w:hAnsi="仿宋" w:eastAsia="仿宋" w:cs="仿宋"/>
                <w:b/>
                <w:bCs/>
                <w:spacing w:val="50"/>
                <w:kern w:val="0"/>
                <w:sz w:val="24"/>
                <w:szCs w:val="24"/>
                <w:fitText w:val="1928" w:id="3"/>
              </w:rPr>
              <w:t>评</w:t>
            </w:r>
            <w:r>
              <w:rPr>
                <w:rFonts w:ascii="仿宋" w:hAnsi="仿宋" w:eastAsia="仿宋" w:cs="仿宋"/>
                <w:b/>
                <w:bCs/>
                <w:spacing w:val="50"/>
                <w:kern w:val="0"/>
                <w:sz w:val="24"/>
                <w:szCs w:val="24"/>
                <w:fitText w:val="1928" w:id="3"/>
              </w:rPr>
              <w:t xml:space="preserve"> </w:t>
            </w:r>
            <w:r>
              <w:rPr>
                <w:rFonts w:hint="eastAsia" w:ascii="仿宋" w:hAnsi="仿宋" w:eastAsia="仿宋" w:cs="仿宋"/>
                <w:b/>
                <w:bCs/>
                <w:spacing w:val="50"/>
                <w:kern w:val="0"/>
                <w:sz w:val="24"/>
                <w:szCs w:val="24"/>
                <w:fitText w:val="1928" w:id="3"/>
              </w:rPr>
              <w:t>定</w:t>
            </w:r>
            <w:r>
              <w:rPr>
                <w:rFonts w:ascii="仿宋" w:hAnsi="仿宋" w:eastAsia="仿宋" w:cs="仿宋"/>
                <w:b/>
                <w:bCs/>
                <w:spacing w:val="50"/>
                <w:kern w:val="0"/>
                <w:sz w:val="24"/>
                <w:szCs w:val="24"/>
                <w:fitText w:val="1928" w:id="3"/>
              </w:rPr>
              <w:t xml:space="preserve"> </w:t>
            </w:r>
            <w:r>
              <w:rPr>
                <w:rFonts w:hint="eastAsia" w:ascii="仿宋" w:hAnsi="仿宋" w:eastAsia="仿宋" w:cs="仿宋"/>
                <w:b/>
                <w:bCs/>
                <w:spacing w:val="50"/>
                <w:kern w:val="0"/>
                <w:sz w:val="24"/>
                <w:szCs w:val="24"/>
                <w:fitText w:val="1928" w:id="3"/>
              </w:rPr>
              <w:t>日</w:t>
            </w:r>
            <w:r>
              <w:rPr>
                <w:rFonts w:ascii="仿宋" w:hAnsi="仿宋" w:eastAsia="仿宋" w:cs="仿宋"/>
                <w:b/>
                <w:bCs/>
                <w:spacing w:val="50"/>
                <w:kern w:val="0"/>
                <w:sz w:val="24"/>
                <w:szCs w:val="24"/>
                <w:fitText w:val="1928" w:id="3"/>
              </w:rPr>
              <w:t xml:space="preserve"> </w:t>
            </w:r>
            <w:r>
              <w:rPr>
                <w:rFonts w:hint="eastAsia" w:ascii="仿宋" w:hAnsi="仿宋" w:eastAsia="仿宋" w:cs="仿宋"/>
                <w:b/>
                <w:bCs/>
                <w:spacing w:val="4"/>
                <w:kern w:val="0"/>
                <w:sz w:val="24"/>
                <w:szCs w:val="24"/>
                <w:fitText w:val="1928" w:id="3"/>
              </w:rPr>
              <w:t>期</w:t>
            </w:r>
          </w:p>
        </w:tc>
        <w:tc>
          <w:tcPr>
            <w:tcW w:w="2183" w:type="dxa"/>
            <w:vAlign w:val="center"/>
          </w:tcPr>
          <w:p w14:paraId="20F3EA0C">
            <w:pPr>
              <w:jc w:val="center"/>
              <w:rPr>
                <w:rFonts w:ascii="仿宋" w:hAnsi="仿宋" w:eastAsia="仿宋"/>
                <w:b/>
                <w:bCs/>
                <w:sz w:val="24"/>
                <w:szCs w:val="24"/>
              </w:rPr>
            </w:pPr>
          </w:p>
        </w:tc>
      </w:tr>
    </w:tbl>
    <w:p w14:paraId="212ACDEC">
      <w:pPr>
        <w:widowControl/>
        <w:jc w:val="center"/>
        <w:rPr>
          <w:rFonts w:ascii="仿宋_GB2312" w:hAnsi="宋体" w:eastAsia="仿宋_GB2312"/>
          <w:b/>
          <w:bCs/>
          <w:sz w:val="28"/>
          <w:szCs w:val="28"/>
        </w:rPr>
      </w:pPr>
    </w:p>
    <w:p w14:paraId="389FC1C7">
      <w:pPr>
        <w:widowControl/>
        <w:jc w:val="center"/>
        <w:rPr>
          <w:rFonts w:ascii="仿宋_GB2312" w:hAnsi="宋体" w:eastAsia="仿宋_GB2312"/>
          <w:b/>
          <w:bCs/>
          <w:sz w:val="24"/>
          <w:szCs w:val="24"/>
        </w:rPr>
      </w:pPr>
      <w:r>
        <w:rPr>
          <w:rFonts w:hint="eastAsia" w:ascii="仿宋_GB2312" w:hAnsi="宋体" w:eastAsia="仿宋_GB2312" w:cs="仿宋_GB2312"/>
          <w:b/>
          <w:bCs/>
          <w:sz w:val="28"/>
          <w:szCs w:val="28"/>
          <w:lang w:val="en-US" w:eastAsia="zh-CN"/>
        </w:rPr>
        <w:t>上海杉达学院</w:t>
      </w:r>
      <w:r>
        <w:rPr>
          <w:rFonts w:ascii="仿宋_GB2312" w:hAnsi="宋体" w:eastAsia="仿宋_GB2312"/>
          <w:sz w:val="32"/>
          <w:szCs w:val="32"/>
        </w:rPr>
        <w:br w:type="page"/>
      </w:r>
    </w:p>
    <w:p>
      <w:pPr>
        <w:pStyle w:val="IndustryTitle"/>
        <w:spacing w:before="0" w:after="150" w:line="300" w:lineRule="auto"/>
        <w:keepNext/>
        <w:widowControl/>
      </w:pPr>
      <w:r>
        <w:rPr>
          <w:rFonts w:ascii="Times New Roman" w:hAnsi="Times New Roman" w:eastAsia="宋体"/>
          <w:sz w:val="32"/>
          <w:szCs w:val="32"/>
          <w:color w:val="000000"/>
          <w:b/>
        </w:rPr>
        <w:t xml:space="preserve">科研机构差旅报销数字化行业分析报告</w:t>
      </w:r>
    </w:p>
    <w:p>
      <w:pPr>
        <w:spacing w:before="0" w:after="150" w:line="300" w:lineRule="auto"/>
        <w:widowControl/>
      </w:pPr>
      <w:r>
        <w:rPr>
          <w:rFonts w:ascii="Times New Roman" w:hAnsi="Times New Roman" w:eastAsia="宋体"/>
          <w:sz w:val="20"/>
          <w:szCs w:val="20"/>
          <w:color w:val="000000"/>
        </w:rPr>
        <w:t xml:space="preserve">澄岳研究院案例  |  行业研究与开源方案选型  |  2026年10月29日</w:t>
      </w:r>
    </w:p>
    <w:p>
      <w:pPr>
        <w:spacing w:before="100" w:after="120" w:line="300" w:lineRule="auto"/>
        <w:keepNext/>
        <w:widowControl/>
      </w:pPr>
      <w:r>
        <w:rPr>
          <w:rFonts w:ascii="Times New Roman" w:hAnsi="Times New Roman" w:eastAsia="宋体"/>
          <w:sz w:val="24"/>
          <w:szCs w:val="24"/>
          <w:color w:val="000000"/>
          <w:b/>
        </w:rPr>
        <w:t xml:space="preserve">一 行业定位与发展背景</w:t>
      </w:r>
    </w:p>
    <w:p>
      <w:pPr>
        <w:spacing w:before="0" w:after="75" w:line="300" w:lineRule="auto"/>
        <w:ind w:firstLine="420"/>
        <w:widowControl/>
      </w:pPr>
      <w:r>
        <w:rPr>
          <w:rFonts w:ascii="Times New Roman" w:hAnsi="Times New Roman" w:eastAsia="宋体"/>
          <w:sz w:val="21"/>
          <w:szCs w:val="21"/>
          <w:color w:val="000000"/>
        </w:rPr>
        <w:t xml:space="preserve">本报告围绕澄岳研究院差旅报销场景，分析行业发展方向、GitHub开源方案及适用边界，为后续设计与MVP选型提供依据。结论是：已有费用报销和审批管理方案可以引用，但本案例应优先保留原ERP/OA，建立只读辅助工作台，补充缺件检查、制度版本追溯和节点事件台账，不宜首期整体替换系统。</w:t>
      </w:r>
    </w:p>
    <w:p>
      <w:pPr>
        <w:spacing w:before="0" w:after="75" w:line="300" w:lineRule="auto"/>
        <w:ind w:firstLine="420"/>
        <w:widowControl/>
      </w:pPr>
      <w:r>
        <w:rPr>
          <w:rFonts w:ascii="Times New Roman" w:hAnsi="Times New Roman" w:eastAsia="宋体"/>
          <w:sz w:val="21"/>
          <w:szCs w:val="21"/>
          <w:color w:val="000000"/>
        </w:rPr>
        <w:t xml:space="preserve">案例依据为2026年10月29日生成的合成业务访谈报告，其中组织、访谈角色、样本和预算均属于教学场景。行业判断采用政府文件与项目官方材料；方案适配结论为分析推论，尚需部署和真实数据验证。检索截止日期为2026年10月29日。[1]</w:t>
      </w:r>
    </w:p>
    <w:p>
      <w:pPr>
        <w:spacing w:before="100" w:after="70" w:line="300" w:lineRule="auto"/>
        <w:keepNext/>
        <w:widowControl/>
      </w:pPr>
      <w:r>
        <w:rPr>
          <w:rFonts w:ascii="Times New Roman" w:hAnsi="Times New Roman" w:eastAsia="宋体"/>
          <w:sz w:val="22"/>
          <w:szCs w:val="22"/>
          <w:color w:val="000000"/>
          <w:b/>
        </w:rPr>
        <w:t xml:space="preserve">行业边界与参与主体</w:t>
      </w:r>
    </w:p>
    <w:p>
      <w:pPr>
        <w:spacing w:before="0" w:after="75" w:line="300" w:lineRule="auto"/>
        <w:ind w:firstLine="420"/>
        <w:widowControl/>
      </w:pPr>
      <w:r>
        <w:rPr>
          <w:rFonts w:ascii="Times New Roman" w:hAnsi="Times New Roman" w:eastAsia="宋体"/>
          <w:sz w:val="21"/>
          <w:szCs w:val="21"/>
          <w:color w:val="000000"/>
        </w:rPr>
        <w:t xml:space="preserve">本项目属于科研机构差旅费用管理与财务流程数字化，覆盖出差申请关联、票据和费用归集、项目分摊、审批交接、付款交接及追溯。需求方包括科研人员、财务审核员、项目负责人、出纳和信息中心；供给侧包括费用管理软件、ERP/OA厂商、凭证处理服务商、开源社区及实施团队。核心价值是减少反复补件与重复录入，并让每次处理依据可以还原。</w:t>
      </w:r>
    </w:p>
    <w:tbl>
      <w:tblPr>
        <w:tblW w:w="83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1531"/>
        <w:gridCol w:w="3515"/>
        <w:gridCol w:w="3231"/>
      </w:tblGrid>
      <w:tr>
        <w:trPr>
          <w:cantSplit/>
          <w:tblHeader/>
        </w:trPr>
        <w:tc>
          <w:tcPr>
            <w:tcW w:w="1531"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行业驱动</w:t>
            </w:r>
          </w:p>
        </w:tc>
        <w:tc>
          <w:tcPr>
            <w:tcW w:w="3515"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已核实的外部依据</w:t>
            </w:r>
          </w:p>
        </w:tc>
        <w:tc>
          <w:tcPr>
            <w:tcW w:w="3231"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对本项目的启示</w:t>
            </w:r>
          </w:p>
        </w:tc>
      </w:tr>
      <w:tr>
        <w:trPr>
          <w:cantSplit/>
        </w:trPr>
        <w:tc>
          <w:tcPr>
            <w:tcW w:w="1531" w:type="dxa"/>
            <w:vAlign w:val="center"/>
          </w:tcPr>
          <w:p>
            <w:pPr>
              <w:spacing w:before="0" w:after="0" w:line="270" w:lineRule="auto"/>
              <w:widowControl/>
              <w:jc w:val="left"/>
            </w:pPr>
            <w:r>
              <w:rPr>
                <w:rFonts w:ascii="Times New Roman" w:hAnsi="Times New Roman" w:eastAsia="宋体"/>
                <w:sz w:val="21"/>
                <w:szCs w:val="21"/>
                <w:color w:val="000000"/>
              </w:rPr>
              <w:t xml:space="preserve">凭证结构化</w:t>
            </w:r>
          </w:p>
        </w:tc>
        <w:tc>
          <w:tcPr>
            <w:tcW w:w="3515" w:type="dxa"/>
            <w:vAlign w:val="center"/>
          </w:tcPr>
          <w:p>
            <w:pPr>
              <w:spacing w:before="0" w:after="0" w:line="270" w:lineRule="auto"/>
              <w:widowControl/>
              <w:jc w:val="left"/>
            </w:pPr>
            <w:r>
              <w:rPr>
                <w:rFonts w:ascii="Times New Roman" w:hAnsi="Times New Roman" w:eastAsia="宋体"/>
                <w:sz w:val="21"/>
                <w:szCs w:val="21"/>
                <w:color w:val="000000"/>
              </w:rPr>
              <w:t xml:space="preserve">财会〔2025〕9号推广电子凭证会计数据标准，衔接接收、报销、入账和归档。[2]</w:t>
            </w:r>
          </w:p>
        </w:tc>
        <w:tc>
          <w:tcPr>
            <w:tcW w:w="3231" w:type="dxa"/>
            <w:vAlign w:val="center"/>
          </w:tcPr>
          <w:p>
            <w:pPr>
              <w:spacing w:before="0" w:after="0" w:line="270" w:lineRule="auto"/>
              <w:widowControl/>
              <w:jc w:val="left"/>
            </w:pPr>
            <w:r>
              <w:rPr>
                <w:rFonts w:ascii="Times New Roman" w:hAnsi="Times New Roman" w:eastAsia="宋体"/>
                <w:sz w:val="21"/>
                <w:szCs w:val="21"/>
                <w:color w:val="000000"/>
              </w:rPr>
              <w:t xml:space="preserve">保留原电子凭证及结构化字段；图片识别只作补充。</w:t>
            </w:r>
          </w:p>
        </w:tc>
      </w:tr>
      <w:tr>
        <w:trPr>
          <w:cantSplit/>
        </w:trPr>
        <w:tc>
          <w:tcPr>
            <w:tcW w:w="1531" w:type="dxa"/>
            <w:vAlign w:val="center"/>
          </w:tcPr>
          <w:p>
            <w:pPr>
              <w:spacing w:before="0" w:after="0" w:line="270" w:lineRule="auto"/>
              <w:widowControl/>
              <w:jc w:val="left"/>
            </w:pPr>
            <w:r>
              <w:rPr>
                <w:rFonts w:ascii="Times New Roman" w:hAnsi="Times New Roman" w:eastAsia="宋体"/>
                <w:sz w:val="21"/>
                <w:szCs w:val="21"/>
                <w:color w:val="000000"/>
              </w:rPr>
              <w:t xml:space="preserve">数电发票普及</w:t>
            </w:r>
          </w:p>
        </w:tc>
        <w:tc>
          <w:tcPr>
            <w:tcW w:w="3515" w:type="dxa"/>
            <w:vAlign w:val="center"/>
          </w:tcPr>
          <w:p>
            <w:pPr>
              <w:spacing w:before="0" w:after="0" w:line="270" w:lineRule="auto"/>
              <w:widowControl/>
              <w:jc w:val="left"/>
            </w:pPr>
            <w:r>
              <w:rPr>
                <w:rFonts w:ascii="Times New Roman" w:hAnsi="Times New Roman" w:eastAsia="宋体"/>
                <w:sz w:val="21"/>
                <w:szCs w:val="21"/>
                <w:color w:val="000000"/>
              </w:rPr>
              <w:t xml:space="preserve">税务总局公告2024年第11号自2024年12月1日起施行，推广数电发票。[3]</w:t>
            </w:r>
          </w:p>
        </w:tc>
        <w:tc>
          <w:tcPr>
            <w:tcW w:w="3231" w:type="dxa"/>
            <w:vAlign w:val="center"/>
          </w:tcPr>
          <w:p>
            <w:pPr>
              <w:spacing w:before="0" w:after="0" w:line="270" w:lineRule="auto"/>
              <w:widowControl/>
              <w:jc w:val="left"/>
            </w:pPr>
            <w:r>
              <w:rPr>
                <w:rFonts w:ascii="Times New Roman" w:hAnsi="Times New Roman" w:eastAsia="宋体"/>
                <w:sz w:val="21"/>
                <w:szCs w:val="21"/>
                <w:color w:val="000000"/>
              </w:rPr>
              <w:t xml:space="preserve">建立票据标识及重复使用检查；本地校验不能称为税务验真。</w:t>
            </w:r>
          </w:p>
        </w:tc>
      </w:tr>
      <w:tr>
        <w:trPr>
          <w:cantSplit/>
        </w:trPr>
        <w:tc>
          <w:tcPr>
            <w:tcW w:w="1531" w:type="dxa"/>
            <w:vAlign w:val="center"/>
          </w:tcPr>
          <w:p>
            <w:pPr>
              <w:spacing w:before="0" w:after="0" w:line="270" w:lineRule="auto"/>
              <w:widowControl/>
              <w:jc w:val="left"/>
            </w:pPr>
            <w:r>
              <w:rPr>
                <w:rFonts w:ascii="Times New Roman" w:hAnsi="Times New Roman" w:eastAsia="宋体"/>
                <w:sz w:val="21"/>
                <w:szCs w:val="21"/>
                <w:color w:val="000000"/>
              </w:rPr>
              <w:t xml:space="preserve">规则与流程追溯</w:t>
            </w:r>
          </w:p>
        </w:tc>
        <w:tc>
          <w:tcPr>
            <w:tcW w:w="3515" w:type="dxa"/>
            <w:vAlign w:val="center"/>
          </w:tcPr>
          <w:p>
            <w:pPr>
              <w:spacing w:before="0" w:after="0" w:line="270" w:lineRule="auto"/>
              <w:widowControl/>
              <w:jc w:val="left"/>
            </w:pPr>
            <w:r>
              <w:rPr>
                <w:rFonts w:ascii="Times New Roman" w:hAnsi="Times New Roman" w:eastAsia="宋体"/>
                <w:sz w:val="21"/>
                <w:szCs w:val="21"/>
                <w:color w:val="000000"/>
              </w:rPr>
              <w:t xml:space="preserve">会计信息化工作规范涉及规则审签、变更及处理过程可追溯。[4]</w:t>
            </w:r>
          </w:p>
        </w:tc>
        <w:tc>
          <w:tcPr>
            <w:tcW w:w="3231" w:type="dxa"/>
            <w:vAlign w:val="center"/>
          </w:tcPr>
          <w:p>
            <w:pPr>
              <w:spacing w:before="0" w:after="0" w:line="270" w:lineRule="auto"/>
              <w:widowControl/>
              <w:jc w:val="left"/>
            </w:pPr>
            <w:r>
              <w:rPr>
                <w:rFonts w:ascii="Times New Roman" w:hAnsi="Times New Roman" w:eastAsia="宋体"/>
                <w:sz w:val="21"/>
                <w:szCs w:val="21"/>
                <w:color w:val="000000"/>
              </w:rPr>
              <w:t xml:space="preserve">记录适用版本、依据字段、人工修正和签核人。</w:t>
            </w:r>
          </w:p>
        </w:tc>
      </w:tr>
      <w:tr>
        <w:trPr>
          <w:cantSplit/>
        </w:trPr>
        <w:tc>
          <w:tcPr>
            <w:tcW w:w="1531" w:type="dxa"/>
            <w:vAlign w:val="center"/>
          </w:tcPr>
          <w:p>
            <w:pPr>
              <w:spacing w:before="0" w:after="0" w:line="270" w:lineRule="auto"/>
              <w:widowControl/>
              <w:jc w:val="left"/>
            </w:pPr>
            <w:r>
              <w:rPr>
                <w:rFonts w:ascii="Times New Roman" w:hAnsi="Times New Roman" w:eastAsia="宋体"/>
                <w:sz w:val="21"/>
                <w:szCs w:val="21"/>
                <w:color w:val="000000"/>
              </w:rPr>
              <w:t xml:space="preserve">科研报销减负</w:t>
            </w:r>
          </w:p>
        </w:tc>
        <w:tc>
          <w:tcPr>
            <w:tcW w:w="3515" w:type="dxa"/>
            <w:vAlign w:val="center"/>
          </w:tcPr>
          <w:p>
            <w:pPr>
              <w:spacing w:before="0" w:after="0" w:line="270" w:lineRule="auto"/>
              <w:widowControl/>
              <w:jc w:val="left"/>
            </w:pPr>
            <w:r>
              <w:rPr>
                <w:rFonts w:ascii="Times New Roman" w:hAnsi="Times New Roman" w:eastAsia="宋体"/>
                <w:sz w:val="21"/>
                <w:szCs w:val="21"/>
                <w:color w:val="000000"/>
              </w:rPr>
              <w:t xml:space="preserve">国办发〔2021〕32号提出科研经费无纸化报销试点等安排。[5]</w:t>
            </w:r>
          </w:p>
        </w:tc>
        <w:tc>
          <w:tcPr>
            <w:tcW w:w="3231" w:type="dxa"/>
            <w:vAlign w:val="center"/>
          </w:tcPr>
          <w:p>
            <w:pPr>
              <w:spacing w:before="0" w:after="0" w:line="270" w:lineRule="auto"/>
              <w:widowControl/>
              <w:jc w:val="left"/>
            </w:pPr>
            <w:r>
              <w:rPr>
                <w:rFonts w:ascii="Times New Roman" w:hAnsi="Times New Roman" w:eastAsia="宋体"/>
                <w:sz w:val="21"/>
                <w:szCs w:val="21"/>
                <w:color w:val="000000"/>
              </w:rPr>
              <w:t xml:space="preserve">围绕科研人员办事负担评价价值，先核实具体适用范围。</w:t>
            </w:r>
          </w:p>
        </w:tc>
      </w:tr>
    </w:tbl>
    <w:p>
      <w:pPr>
        <w:spacing w:before="0" w:after="30" w:line="300" w:lineRule="auto"/>
        <w:ind w:firstLine="420"/>
        <w:widowControl/>
      </w:pPr>
    </w:p>
    <w:p>
      <w:pPr>
        <w:spacing w:before="0" w:after="75" w:line="300" w:lineRule="auto"/>
        <w:ind w:firstLine="420"/>
        <w:widowControl/>
      </w:pPr>
      <w:r>
        <w:rPr>
          <w:rFonts w:ascii="Times New Roman" w:hAnsi="Times New Roman" w:eastAsia="宋体"/>
          <w:sz w:val="21"/>
          <w:szCs w:val="21"/>
          <w:color w:val="000000"/>
        </w:rPr>
        <w:t xml:space="preserve">据此可推导，选型重点正在从单纯上传票据和流转表单，扩展到凭证数据、组织规则、系统接口和审计证据的协同。上述政策能解释建设方向，不能证明本案例具备实时验真接口，也不能替代研究院自身制度。</w:t>
      </w:r>
    </w:p>
    <w:p>
      <w:pPr>
        <w:spacing w:before="100" w:after="120" w:line="300" w:lineRule="auto"/>
        <w:keepNext/>
        <w:pageBreakBefore/>
        <w:widowControl/>
      </w:pPr>
      <w:r>
        <w:rPr>
          <w:rFonts w:ascii="Times New Roman" w:hAnsi="Times New Roman" w:eastAsia="宋体"/>
          <w:sz w:val="24"/>
          <w:szCs w:val="24"/>
          <w:color w:val="000000"/>
          <w:b/>
        </w:rPr>
        <w:t xml:space="preserve">二 场景需求与行业供给的适配</w:t>
      </w:r>
    </w:p>
    <w:p>
      <w:pPr>
        <w:spacing w:before="0" w:after="75" w:line="300" w:lineRule="auto"/>
        <w:ind w:firstLine="420"/>
        <w:widowControl/>
      </w:pPr>
      <w:r>
        <w:rPr>
          <w:rFonts w:ascii="Times New Roman" w:hAnsi="Times New Roman" w:eastAsia="宋体"/>
          <w:sz w:val="21"/>
          <w:szCs w:val="21"/>
          <w:color w:val="000000"/>
        </w:rPr>
        <w:t xml:space="preserve">案例现状为员工提交、财务初审、项目负责人确认、财务复核、出纳付款，退回补件会重新进入前序流程。初审每日两次批量处理，付款按每周二、四批处理。因此，审核提速与到账提速是两个不同结果，不能仅凭审批页面变化承诺整体周期达标。[1：research-f01、f20、f51]</w:t>
      </w:r>
    </w:p>
    <w:tbl>
      <w:tblPr>
        <w:tblW w:w="83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1928"/>
        <w:gridCol w:w="3231"/>
        <w:gridCol w:w="3118"/>
      </w:tblGrid>
      <w:tr>
        <w:trPr>
          <w:cantSplit/>
          <w:tblHeader/>
        </w:trPr>
        <w:tc>
          <w:tcPr>
            <w:tcW w:w="1928"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需求与案例证据</w:t>
            </w:r>
          </w:p>
        </w:tc>
        <w:tc>
          <w:tcPr>
            <w:tcW w:w="3231"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应具备的能力</w:t>
            </w:r>
          </w:p>
        </w:tc>
        <w:tc>
          <w:tcPr>
            <w:tcW w:w="3118"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现成方案的适配边界</w:t>
            </w:r>
          </w:p>
        </w:tc>
      </w:tr>
      <w:tr>
        <w:trPr>
          <w:cantSplit/>
        </w:trPr>
        <w:tc>
          <w:tcPr>
            <w:tcW w:w="1928" w:type="dxa"/>
            <w:vAlign w:val="center"/>
          </w:tcPr>
          <w:p>
            <w:pPr>
              <w:spacing w:before="0" w:after="0" w:line="270" w:lineRule="auto"/>
              <w:widowControl/>
              <w:jc w:val="left"/>
            </w:pPr>
            <w:r>
              <w:rPr>
                <w:rFonts w:ascii="Times New Roman" w:hAnsi="Times New Roman" w:eastAsia="宋体"/>
                <w:sz w:val="21"/>
                <w:szCs w:val="21"/>
                <w:color w:val="000000"/>
              </w:rPr>
              <w:t xml:space="preserve">缺项目编码、反复补件</w:t>
              <w:br/>
              <w:t xml:space="preserve">f10、f12</w:t>
            </w:r>
          </w:p>
        </w:tc>
        <w:tc>
          <w:tcPr>
            <w:tcW w:w="3231" w:type="dxa"/>
            <w:vAlign w:val="center"/>
          </w:tcPr>
          <w:p>
            <w:pPr>
              <w:spacing w:before="0" w:after="0" w:line="270" w:lineRule="auto"/>
              <w:widowControl/>
              <w:jc w:val="left"/>
            </w:pPr>
            <w:r>
              <w:rPr>
                <w:rFonts w:ascii="Times New Roman" w:hAnsi="Times New Roman" w:eastAsia="宋体"/>
                <w:sz w:val="21"/>
                <w:szCs w:val="21"/>
                <w:color w:val="000000"/>
              </w:rPr>
              <w:t xml:space="preserve">提交前检查必填项、附件及出差申请关联</w:t>
            </w:r>
          </w:p>
        </w:tc>
        <w:tc>
          <w:tcPr>
            <w:tcW w:w="3118" w:type="dxa"/>
            <w:vAlign w:val="center"/>
          </w:tcPr>
          <w:p>
            <w:pPr>
              <w:spacing w:before="0" w:after="0" w:line="270" w:lineRule="auto"/>
              <w:widowControl/>
              <w:jc w:val="left"/>
            </w:pPr>
            <w:r>
              <w:rPr>
                <w:rFonts w:ascii="Times New Roman" w:hAnsi="Times New Roman" w:eastAsia="宋体"/>
                <w:sz w:val="21"/>
                <w:szCs w:val="21"/>
                <w:color w:val="000000"/>
              </w:rPr>
              <w:t xml:space="preserve">通用表单可复用，具体缺件规则需确认。</w:t>
            </w:r>
          </w:p>
        </w:tc>
      </w:tr>
      <w:tr>
        <w:trPr>
          <w:cantSplit/>
        </w:trPr>
        <w:tc>
          <w:tcPr>
            <w:tcW w:w="1928" w:type="dxa"/>
            <w:vAlign w:val="center"/>
          </w:tcPr>
          <w:p>
            <w:pPr>
              <w:spacing w:before="0" w:after="0" w:line="270" w:lineRule="auto"/>
              <w:widowControl/>
              <w:jc w:val="left"/>
            </w:pPr>
            <w:r>
              <w:rPr>
                <w:rFonts w:ascii="Times New Roman" w:hAnsi="Times New Roman" w:eastAsia="宋体"/>
                <w:sz w:val="21"/>
                <w:szCs w:val="21"/>
                <w:color w:val="000000"/>
              </w:rPr>
              <w:t xml:space="preserve">同票跨项目分摊</w:t>
              <w:br/>
              <w:t xml:space="preserve">f11、f14</w:t>
            </w:r>
          </w:p>
        </w:tc>
        <w:tc>
          <w:tcPr>
            <w:tcW w:w="3231" w:type="dxa"/>
            <w:vAlign w:val="center"/>
          </w:tcPr>
          <w:p>
            <w:pPr>
              <w:spacing w:before="0" w:after="0" w:line="270" w:lineRule="auto"/>
              <w:widowControl/>
              <w:jc w:val="left"/>
            </w:pPr>
            <w:r>
              <w:rPr>
                <w:rFonts w:ascii="Times New Roman" w:hAnsi="Times New Roman" w:eastAsia="宋体"/>
                <w:sz w:val="21"/>
                <w:szCs w:val="21"/>
                <w:color w:val="000000"/>
              </w:rPr>
              <w:t xml:space="preserve">保存票据与分摊明细，校验金额合计，人工确认</w:t>
            </w:r>
          </w:p>
        </w:tc>
        <w:tc>
          <w:tcPr>
            <w:tcW w:w="3118" w:type="dxa"/>
            <w:vAlign w:val="center"/>
          </w:tcPr>
          <w:p>
            <w:pPr>
              <w:spacing w:before="0" w:after="0" w:line="270" w:lineRule="auto"/>
              <w:widowControl/>
              <w:jc w:val="left"/>
            </w:pPr>
            <w:r>
              <w:rPr>
                <w:rFonts w:ascii="Times New Roman" w:hAnsi="Times New Roman" w:eastAsia="宋体"/>
                <w:sz w:val="21"/>
                <w:szCs w:val="21"/>
                <w:color w:val="000000"/>
              </w:rPr>
              <w:t xml:space="preserve">项目字段不等于完整的单票多项目追溯。</w:t>
            </w:r>
          </w:p>
        </w:tc>
      </w:tr>
      <w:tr>
        <w:trPr>
          <w:cantSplit/>
        </w:trPr>
        <w:tc>
          <w:tcPr>
            <w:tcW w:w="1928" w:type="dxa"/>
            <w:vAlign w:val="center"/>
          </w:tcPr>
          <w:p>
            <w:pPr>
              <w:spacing w:before="0" w:after="0" w:line="270" w:lineRule="auto"/>
              <w:widowControl/>
              <w:jc w:val="left"/>
            </w:pPr>
            <w:r>
              <w:rPr>
                <w:rFonts w:ascii="Times New Roman" w:hAnsi="Times New Roman" w:eastAsia="宋体"/>
                <w:sz w:val="21"/>
                <w:szCs w:val="21"/>
                <w:color w:val="000000"/>
              </w:rPr>
              <w:t xml:space="preserve">制度版本冲突</w:t>
              <w:br/>
              <w:t xml:space="preserve">f21、f24、f40</w:t>
            </w:r>
          </w:p>
        </w:tc>
        <w:tc>
          <w:tcPr>
            <w:tcW w:w="3231" w:type="dxa"/>
            <w:vAlign w:val="center"/>
          </w:tcPr>
          <w:p>
            <w:pPr>
              <w:spacing w:before="0" w:after="0" w:line="270" w:lineRule="auto"/>
              <w:widowControl/>
              <w:jc w:val="left"/>
            </w:pPr>
            <w:r>
              <w:rPr>
                <w:rFonts w:ascii="Times New Roman" w:hAnsi="Times New Roman" w:eastAsia="宋体"/>
                <w:sz w:val="21"/>
                <w:szCs w:val="21"/>
                <w:color w:val="000000"/>
              </w:rPr>
              <w:t xml:space="preserve">制度版本、有效期、适用项目、条款及裁定人</w:t>
            </w:r>
          </w:p>
        </w:tc>
        <w:tc>
          <w:tcPr>
            <w:tcW w:w="3118" w:type="dxa"/>
            <w:vAlign w:val="center"/>
          </w:tcPr>
          <w:p>
            <w:pPr>
              <w:spacing w:before="0" w:after="0" w:line="270" w:lineRule="auto"/>
              <w:widowControl/>
              <w:jc w:val="left"/>
            </w:pPr>
            <w:r>
              <w:rPr>
                <w:rFonts w:ascii="Times New Roman" w:hAnsi="Times New Roman" w:eastAsia="宋体"/>
                <w:sz w:val="21"/>
                <w:szCs w:val="21"/>
                <w:color w:val="000000"/>
              </w:rPr>
              <w:t xml:space="preserve">普通审批流不能自动裁定新旧制度。</w:t>
            </w:r>
          </w:p>
        </w:tc>
      </w:tr>
      <w:tr>
        <w:trPr>
          <w:cantSplit/>
        </w:trPr>
        <w:tc>
          <w:tcPr>
            <w:tcW w:w="1928" w:type="dxa"/>
            <w:vAlign w:val="center"/>
          </w:tcPr>
          <w:p>
            <w:pPr>
              <w:spacing w:before="0" w:after="0" w:line="270" w:lineRule="auto"/>
              <w:widowControl/>
              <w:jc w:val="left"/>
            </w:pPr>
            <w:r>
              <w:rPr>
                <w:rFonts w:ascii="Times New Roman" w:hAnsi="Times New Roman" w:eastAsia="宋体"/>
                <w:sz w:val="21"/>
                <w:szCs w:val="21"/>
                <w:color w:val="000000"/>
              </w:rPr>
              <w:t xml:space="preserve">流程等待不可见</w:t>
              <w:br/>
              <w:t xml:space="preserve">f00、f31</w:t>
            </w:r>
          </w:p>
        </w:tc>
        <w:tc>
          <w:tcPr>
            <w:tcW w:w="3231" w:type="dxa"/>
            <w:vAlign w:val="center"/>
          </w:tcPr>
          <w:p>
            <w:pPr>
              <w:spacing w:before="0" w:after="0" w:line="270" w:lineRule="auto"/>
              <w:widowControl/>
              <w:jc w:val="left"/>
            </w:pPr>
            <w:r>
              <w:rPr>
                <w:rFonts w:ascii="Times New Roman" w:hAnsi="Times New Roman" w:eastAsia="宋体"/>
                <w:sz w:val="21"/>
                <w:szCs w:val="21"/>
                <w:color w:val="000000"/>
              </w:rPr>
              <w:t xml:space="preserve">依据事件时间重建节点，记录返工与交接确认</w:t>
            </w:r>
          </w:p>
        </w:tc>
        <w:tc>
          <w:tcPr>
            <w:tcW w:w="3118" w:type="dxa"/>
            <w:vAlign w:val="center"/>
          </w:tcPr>
          <w:p>
            <w:pPr>
              <w:spacing w:before="0" w:after="0" w:line="270" w:lineRule="auto"/>
              <w:widowControl/>
              <w:jc w:val="left"/>
            </w:pPr>
            <w:r>
              <w:rPr>
                <w:rFonts w:ascii="Times New Roman" w:hAnsi="Times New Roman" w:eastAsia="宋体"/>
                <w:sz w:val="21"/>
                <w:szCs w:val="21"/>
                <w:color w:val="000000"/>
              </w:rPr>
              <w:t xml:space="preserve">当前状态和消息发送量不能替代事件链。</w:t>
            </w:r>
          </w:p>
        </w:tc>
      </w:tr>
      <w:tr>
        <w:trPr>
          <w:cantSplit/>
        </w:trPr>
        <w:tc>
          <w:tcPr>
            <w:tcW w:w="1928" w:type="dxa"/>
            <w:vAlign w:val="center"/>
          </w:tcPr>
          <w:p>
            <w:pPr>
              <w:spacing w:before="0" w:after="0" w:line="270" w:lineRule="auto"/>
              <w:widowControl/>
              <w:jc w:val="left"/>
            </w:pPr>
            <w:r>
              <w:rPr>
                <w:rFonts w:ascii="Times New Roman" w:hAnsi="Times New Roman" w:eastAsia="宋体"/>
                <w:sz w:val="21"/>
                <w:szCs w:val="21"/>
                <w:color w:val="000000"/>
              </w:rPr>
              <w:t xml:space="preserve">ERP/OA身份不一致</w:t>
              <w:br/>
              <w:t xml:space="preserve">f30、f32、f34</w:t>
            </w:r>
          </w:p>
        </w:tc>
        <w:tc>
          <w:tcPr>
            <w:tcW w:w="3231" w:type="dxa"/>
            <w:vAlign w:val="center"/>
          </w:tcPr>
          <w:p>
            <w:pPr>
              <w:spacing w:before="0" w:after="0" w:line="270" w:lineRule="auto"/>
              <w:widowControl/>
              <w:jc w:val="left"/>
            </w:pPr>
            <w:r>
              <w:rPr>
                <w:rFonts w:ascii="Times New Roman" w:hAnsi="Times New Roman" w:eastAsia="宋体"/>
                <w:sz w:val="21"/>
                <w:szCs w:val="21"/>
                <w:color w:val="000000"/>
              </w:rPr>
              <w:t xml:space="preserve">工号映射、来源版本、只读同步及过期提示</w:t>
            </w:r>
          </w:p>
        </w:tc>
        <w:tc>
          <w:tcPr>
            <w:tcW w:w="3118" w:type="dxa"/>
            <w:vAlign w:val="center"/>
          </w:tcPr>
          <w:p>
            <w:pPr>
              <w:spacing w:before="0" w:after="0" w:line="270" w:lineRule="auto"/>
              <w:widowControl/>
              <w:jc w:val="left"/>
            </w:pPr>
            <w:r>
              <w:rPr>
                <w:rFonts w:ascii="Times New Roman" w:hAnsi="Times New Roman" w:eastAsia="宋体"/>
                <w:sz w:val="21"/>
                <w:szCs w:val="21"/>
                <w:color w:val="000000"/>
              </w:rPr>
              <w:t xml:space="preserve">通用API不能保证与既有系统直接兼容。</w:t>
            </w:r>
          </w:p>
        </w:tc>
      </w:tr>
      <w:tr>
        <w:trPr>
          <w:cantSplit/>
        </w:trPr>
        <w:tc>
          <w:tcPr>
            <w:tcW w:w="1928" w:type="dxa"/>
            <w:vAlign w:val="center"/>
          </w:tcPr>
          <w:p>
            <w:pPr>
              <w:spacing w:before="0" w:after="0" w:line="270" w:lineRule="auto"/>
              <w:widowControl/>
              <w:jc w:val="left"/>
            </w:pPr>
            <w:r>
              <w:rPr>
                <w:rFonts w:ascii="Times New Roman" w:hAnsi="Times New Roman" w:eastAsia="宋体"/>
                <w:sz w:val="21"/>
                <w:szCs w:val="21"/>
                <w:color w:val="000000"/>
              </w:rPr>
              <w:t xml:space="preserve">审计与付款交接</w:t>
              <w:br/>
              <w:t xml:space="preserve">f42、f45、f50</w:t>
            </w:r>
          </w:p>
        </w:tc>
        <w:tc>
          <w:tcPr>
            <w:tcW w:w="3231" w:type="dxa"/>
            <w:vAlign w:val="center"/>
          </w:tcPr>
          <w:p>
            <w:pPr>
              <w:spacing w:before="0" w:after="0" w:line="270" w:lineRule="auto"/>
              <w:widowControl/>
              <w:jc w:val="left"/>
            </w:pPr>
            <w:r>
              <w:rPr>
                <w:rFonts w:ascii="Times New Roman" w:hAnsi="Times New Roman" w:eastAsia="宋体"/>
                <w:sz w:val="21"/>
                <w:szCs w:val="21"/>
                <w:color w:val="000000"/>
              </w:rPr>
              <w:t xml:space="preserve">原记录、建议、人工修正与签核关联；复核通过清单</w:t>
            </w:r>
          </w:p>
        </w:tc>
        <w:tc>
          <w:tcPr>
            <w:tcW w:w="3118" w:type="dxa"/>
            <w:vAlign w:val="center"/>
          </w:tcPr>
          <w:p>
            <w:pPr>
              <w:spacing w:before="0" w:after="0" w:line="270" w:lineRule="auto"/>
              <w:widowControl/>
              <w:jc w:val="left"/>
            </w:pPr>
            <w:r>
              <w:rPr>
                <w:rFonts w:ascii="Times New Roman" w:hAnsi="Times New Roman" w:eastAsia="宋体"/>
                <w:sz w:val="21"/>
                <w:szCs w:val="21"/>
                <w:color w:val="000000"/>
              </w:rPr>
              <w:t xml:space="preserve">保留人工签核和出纳确认，不新增支付权限。</w:t>
            </w:r>
          </w:p>
        </w:tc>
      </w:tr>
    </w:tbl>
    <w:p>
      <w:pPr>
        <w:spacing w:before="0" w:after="30" w:line="300" w:lineRule="auto"/>
        <w:ind w:firstLine="420"/>
        <w:widowControl/>
      </w:pPr>
    </w:p>
    <w:p>
      <w:pPr>
        <w:spacing w:before="100" w:after="70" w:line="300" w:lineRule="auto"/>
        <w:keepNext/>
        <w:widowControl/>
      </w:pPr>
      <w:r>
        <w:rPr>
          <w:rFonts w:ascii="Times New Roman" w:hAnsi="Times New Roman" w:eastAsia="宋体"/>
          <w:sz w:val="22"/>
          <w:szCs w:val="22"/>
          <w:color w:val="000000"/>
          <w:b/>
        </w:rPr>
        <w:t xml:space="preserve">指标必须区分案例参数与实际成果</w:t>
      </w:r>
    </w:p>
    <w:p>
      <w:pPr>
        <w:spacing w:before="0" w:after="75" w:line="300" w:lineRule="auto"/>
        <w:ind w:firstLine="420"/>
        <w:widowControl/>
      </w:pPr>
      <w:r>
        <w:rPr>
          <w:rFonts w:ascii="Times New Roman" w:hAnsi="Times New Roman" w:eastAsia="宋体"/>
          <w:sz w:val="21"/>
          <w:szCs w:val="21"/>
          <w:color w:val="000000"/>
        </w:rPr>
        <w:t xml:space="preserve">合成样本中50单有19单补件，算得38%；9天降到3天、补件率低于15%均为拟议目标，22分钟为案例中的平均重复录入耗时，10万元为合成试点预算。这些数字不是行业均值，也不是系统实施后的实测效果。36/36只表示材料采集覆盖完整。[1：research-f00、f02、f03、f12]</w:t>
      </w:r>
    </w:p>
    <w:p>
      <w:pPr>
        <w:spacing w:before="0" w:after="75" w:line="300" w:lineRule="auto"/>
        <w:ind w:firstLine="420"/>
        <w:widowControl/>
      </w:pPr>
      <w:r>
        <w:rPr>
          <w:rFonts w:ascii="Times New Roman" w:hAnsi="Times New Roman" w:eastAsia="宋体"/>
          <w:sz w:val="21"/>
          <w:szCs w:val="21"/>
          <w:color w:val="000000"/>
        </w:rPr>
        <w:t xml:space="preserve">当前缺少节点等待实测、退回原因占比、正式制度裁定、接口字段样例与金额审批门槛。项目启动应先补这些证据，否则无法判断应优先改规则、改协作还是改系统。对于已有ERP/OA的组织，轻量辅助层具有较低的迁移负担；这一判断来自本案例接口和范围约束，不是对所有机构的普遍结论。</w:t>
      </w:r>
    </w:p>
    <w:p>
      <w:pPr>
        <w:spacing w:before="100" w:after="120" w:line="300" w:lineRule="auto"/>
        <w:keepNext/>
        <w:pageBreakBefore/>
        <w:widowControl/>
      </w:pPr>
      <w:r>
        <w:rPr>
          <w:rFonts w:ascii="Times New Roman" w:hAnsi="Times New Roman" w:eastAsia="宋体"/>
          <w:sz w:val="24"/>
          <w:szCs w:val="24"/>
          <w:color w:val="000000"/>
          <w:b/>
        </w:rPr>
        <w:t xml:space="preserve">三 GitHub解决方案检索与比较</w:t>
      </w:r>
    </w:p>
    <w:p>
      <w:pPr>
        <w:spacing w:before="0" w:after="75" w:line="300" w:lineRule="auto"/>
        <w:ind w:firstLine="420"/>
        <w:widowControl/>
      </w:pPr>
      <w:r>
        <w:rPr>
          <w:rFonts w:ascii="Times New Roman" w:hAnsi="Times New Roman" w:eastAsia="宋体"/>
          <w:sz w:val="21"/>
          <w:szCs w:val="21"/>
          <w:color w:val="000000"/>
        </w:rPr>
        <w:t xml:space="preserve">检索围绕expense claim、expense approval、travel reimbursement、tier validation等主题，核对官方仓库、许可证、费用模型和审批模块。以下为候选方案比较，不代表穷尽GitHub。结论是已找到可复用项目，但本轮未验证到一个可直接覆盖全部案例约束的现成系统。</w:t>
      </w:r>
    </w:p>
    <w:tbl>
      <w:tblPr>
        <w:tblW w:w="83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1814"/>
        <w:gridCol w:w="1871"/>
        <w:gridCol w:w="2438"/>
        <w:gridCol w:w="2154"/>
      </w:tblGrid>
      <w:tr>
        <w:trPr>
          <w:cantSplit/>
          <w:tblHeader/>
        </w:trPr>
        <w:tc>
          <w:tcPr>
            <w:tcW w:w="1814"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项目与定位</w:t>
            </w:r>
          </w:p>
        </w:tc>
        <w:tc>
          <w:tcPr>
            <w:tcW w:w="1871"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许可证与评估范围</w:t>
            </w:r>
          </w:p>
        </w:tc>
        <w:tc>
          <w:tcPr>
            <w:tcW w:w="2438"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已有能力</w:t>
            </w:r>
          </w:p>
        </w:tc>
        <w:tc>
          <w:tcPr>
            <w:tcW w:w="2154"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适配结论</w:t>
            </w:r>
          </w:p>
        </w:tc>
      </w:tr>
      <w:tr>
        <w:trPr>
          <w:cantSplit/>
        </w:trPr>
        <w:tc>
          <w:tcPr>
            <w:tcW w:w="1814" w:type="dxa"/>
            <w:vAlign w:val="center"/>
          </w:tcPr>
          <w:p>
            <w:pPr>
              <w:spacing w:before="0" w:after="0" w:line="270" w:lineRule="auto"/>
              <w:widowControl/>
              <w:jc w:val="left"/>
            </w:pPr>
            <w:r>
              <w:rPr>
                <w:rFonts w:ascii="Times New Roman" w:hAnsi="Times New Roman" w:eastAsia="宋体"/>
                <w:sz w:val="21"/>
                <w:szCs w:val="21"/>
                <w:color w:val="000000"/>
              </w:rPr>
              <w:t xml:space="preserve">Frappe HRMS</w:t>
              <w:br/>
              <w:t xml:space="preserve">完整费用管理候选</w:t>
            </w:r>
          </w:p>
        </w:tc>
        <w:tc>
          <w:tcPr>
            <w:tcW w:w="1871" w:type="dxa"/>
            <w:vAlign w:val="center"/>
          </w:tcPr>
          <w:p>
            <w:pPr>
              <w:spacing w:before="0" w:after="0" w:line="270" w:lineRule="auto"/>
              <w:widowControl/>
              <w:jc w:val="left"/>
            </w:pPr>
            <w:r>
              <w:rPr>
                <w:rFonts w:ascii="Times New Roman" w:hAnsi="Times New Roman" w:eastAsia="宋体"/>
                <w:sz w:val="21"/>
                <w:szCs w:val="21"/>
                <w:color w:val="000000"/>
              </w:rPr>
              <w:t xml:space="preserve">GPL-3.0</w:t>
              <w:br/>
              <w:t xml:space="preserve">develop源码与官方文档 [6][7]</w:t>
            </w:r>
          </w:p>
        </w:tc>
        <w:tc>
          <w:tcPr>
            <w:tcW w:w="2438" w:type="dxa"/>
            <w:vAlign w:val="center"/>
          </w:tcPr>
          <w:p>
            <w:pPr>
              <w:spacing w:before="0" w:after="0" w:line="270" w:lineRule="auto"/>
              <w:widowControl/>
              <w:jc w:val="left"/>
            </w:pPr>
            <w:r>
              <w:rPr>
                <w:rFonts w:ascii="Times New Roman" w:hAnsi="Times New Roman" w:eastAsia="宋体"/>
                <w:sz w:val="21"/>
                <w:szCs w:val="21"/>
                <w:color w:val="000000"/>
              </w:rPr>
              <w:t xml:space="preserve">费用报销、预支、审批；费用明细关联项目和成本中心</w:t>
            </w:r>
          </w:p>
        </w:tc>
        <w:tc>
          <w:tcPr>
            <w:tcW w:w="2154" w:type="dxa"/>
            <w:vAlign w:val="center"/>
          </w:tcPr>
          <w:p>
            <w:pPr>
              <w:spacing w:before="0" w:after="0" w:line="270" w:lineRule="auto"/>
              <w:widowControl/>
              <w:jc w:val="left"/>
            </w:pPr>
            <w:r>
              <w:rPr>
                <w:rFonts w:ascii="Times New Roman" w:hAnsi="Times New Roman" w:eastAsia="宋体"/>
                <w:sz w:val="21"/>
                <w:szCs w:val="21"/>
                <w:color w:val="000000"/>
              </w:rPr>
              <w:t xml:space="preserve">适合独立演示；已有ERP接入和制度冲突需扩展。</w:t>
            </w:r>
          </w:p>
        </w:tc>
      </w:tr>
      <w:tr>
        <w:trPr>
          <w:cantSplit/>
        </w:trPr>
        <w:tc>
          <w:tcPr>
            <w:tcW w:w="1814" w:type="dxa"/>
            <w:vAlign w:val="center"/>
          </w:tcPr>
          <w:p>
            <w:pPr>
              <w:spacing w:before="0" w:after="0" w:line="270" w:lineRule="auto"/>
              <w:widowControl/>
              <w:jc w:val="left"/>
            </w:pPr>
            <w:r>
              <w:rPr>
                <w:rFonts w:ascii="Times New Roman" w:hAnsi="Times New Roman" w:eastAsia="宋体"/>
                <w:sz w:val="21"/>
                <w:szCs w:val="21"/>
                <w:color w:val="000000"/>
              </w:rPr>
              <w:t xml:space="preserve">Odoo hr_expense</w:t>
              <w:br/>
              <w:t xml:space="preserve">ERP费用模块</w:t>
            </w:r>
          </w:p>
        </w:tc>
        <w:tc>
          <w:tcPr>
            <w:tcW w:w="1871" w:type="dxa"/>
            <w:vAlign w:val="center"/>
          </w:tcPr>
          <w:p>
            <w:pPr>
              <w:spacing w:before="0" w:after="0" w:line="270" w:lineRule="auto"/>
              <w:widowControl/>
              <w:jc w:val="left"/>
            </w:pPr>
            <w:r>
              <w:rPr>
                <w:rFonts w:ascii="Times New Roman" w:hAnsi="Times New Roman" w:eastAsia="宋体"/>
                <w:sz w:val="21"/>
                <w:szCs w:val="21"/>
                <w:color w:val="000000"/>
              </w:rPr>
              <w:t xml:space="preserve">LGPL-3</w:t>
              <w:br/>
              <w:t xml:space="preserve">18.0分支 [8]</w:t>
            </w:r>
          </w:p>
        </w:tc>
        <w:tc>
          <w:tcPr>
            <w:tcW w:w="2438" w:type="dxa"/>
            <w:vAlign w:val="center"/>
          </w:tcPr>
          <w:p>
            <w:pPr>
              <w:spacing w:before="0" w:after="0" w:line="270" w:lineRule="auto"/>
              <w:widowControl/>
              <w:jc w:val="left"/>
            </w:pPr>
            <w:r>
              <w:rPr>
                <w:rFonts w:ascii="Times New Roman" w:hAnsi="Times New Roman" w:eastAsia="宋体"/>
                <w:sz w:val="21"/>
                <w:szCs w:val="21"/>
                <w:color w:val="000000"/>
              </w:rPr>
              <w:t xml:space="preserve">费用记录、附件、状态审批；分析核算和重复票据提示</w:t>
            </w:r>
          </w:p>
        </w:tc>
        <w:tc>
          <w:tcPr>
            <w:tcW w:w="2154" w:type="dxa"/>
            <w:vAlign w:val="center"/>
          </w:tcPr>
          <w:p>
            <w:pPr>
              <w:spacing w:before="0" w:after="0" w:line="270" w:lineRule="auto"/>
              <w:widowControl/>
              <w:jc w:val="left"/>
            </w:pPr>
            <w:r>
              <w:rPr>
                <w:rFonts w:ascii="Times New Roman" w:hAnsi="Times New Roman" w:eastAsia="宋体"/>
                <w:sz w:val="21"/>
                <w:szCs w:val="21"/>
                <w:color w:val="000000"/>
              </w:rPr>
              <w:t xml:space="preserve">适合Odoo生态；本案外部ERP映射需实现。</w:t>
            </w:r>
          </w:p>
        </w:tc>
      </w:tr>
      <w:tr>
        <w:trPr>
          <w:cantSplit/>
        </w:trPr>
        <w:tc>
          <w:tcPr>
            <w:tcW w:w="1814" w:type="dxa"/>
            <w:vAlign w:val="center"/>
          </w:tcPr>
          <w:p>
            <w:pPr>
              <w:spacing w:before="0" w:after="0" w:line="270" w:lineRule="auto"/>
              <w:widowControl/>
              <w:jc w:val="left"/>
            </w:pPr>
            <w:r>
              <w:rPr>
                <w:rFonts w:ascii="Times New Roman" w:hAnsi="Times New Roman" w:eastAsia="宋体"/>
                <w:sz w:val="21"/>
                <w:szCs w:val="21"/>
                <w:color w:val="000000"/>
              </w:rPr>
              <w:t xml:space="preserve">OCA hr-expense</w:t>
              <w:br/>
              <w:t xml:space="preserve">Odoo扩展集合</w:t>
            </w:r>
          </w:p>
        </w:tc>
        <w:tc>
          <w:tcPr>
            <w:tcW w:w="1871" w:type="dxa"/>
            <w:vAlign w:val="center"/>
          </w:tcPr>
          <w:p>
            <w:pPr>
              <w:spacing w:before="0" w:after="0" w:line="270" w:lineRule="auto"/>
              <w:widowControl/>
              <w:jc w:val="left"/>
            </w:pPr>
            <w:r>
              <w:rPr>
                <w:rFonts w:ascii="Times New Roman" w:hAnsi="Times New Roman" w:eastAsia="宋体"/>
                <w:sz w:val="21"/>
                <w:szCs w:val="21"/>
                <w:color w:val="000000"/>
              </w:rPr>
              <w:t xml:space="preserve">AGPL-3.0为仓库默认，具体看模块</w:t>
              <w:br/>
              <w:t xml:space="preserve">18.0分支 [9]</w:t>
            </w:r>
          </w:p>
        </w:tc>
        <w:tc>
          <w:tcPr>
            <w:tcW w:w="2438" w:type="dxa"/>
            <w:vAlign w:val="center"/>
          </w:tcPr>
          <w:p>
            <w:pPr>
              <w:spacing w:before="0" w:after="0" w:line="270" w:lineRule="auto"/>
              <w:widowControl/>
              <w:jc w:val="left"/>
            </w:pPr>
            <w:r>
              <w:rPr>
                <w:rFonts w:ascii="Times New Roman" w:hAnsi="Times New Roman" w:eastAsia="宋体"/>
                <w:sz w:val="21"/>
                <w:szCs w:val="21"/>
                <w:color w:val="000000"/>
              </w:rPr>
              <w:t xml:space="preserve">自定义报销异常规则；费用分级审批（模块见来源[9]）</w:t>
            </w:r>
          </w:p>
        </w:tc>
        <w:tc>
          <w:tcPr>
            <w:tcW w:w="2154" w:type="dxa"/>
            <w:vAlign w:val="center"/>
          </w:tcPr>
          <w:p>
            <w:pPr>
              <w:spacing w:before="0" w:after="0" w:line="270" w:lineRule="auto"/>
              <w:widowControl/>
              <w:jc w:val="left"/>
            </w:pPr>
            <w:r>
              <w:rPr>
                <w:rFonts w:ascii="Times New Roman" w:hAnsi="Times New Roman" w:eastAsia="宋体"/>
                <w:sz w:val="21"/>
                <w:szCs w:val="21"/>
                <w:color w:val="000000"/>
              </w:rPr>
              <w:t xml:space="preserve">适合补充规则和审核；依赖匹配的Odoo及扩展。</w:t>
            </w:r>
          </w:p>
        </w:tc>
      </w:tr>
      <w:tr>
        <w:trPr>
          <w:cantSplit/>
        </w:trPr>
        <w:tc>
          <w:tcPr>
            <w:tcW w:w="1814" w:type="dxa"/>
            <w:vAlign w:val="center"/>
          </w:tcPr>
          <w:p>
            <w:pPr>
              <w:spacing w:before="0" w:after="0" w:line="270" w:lineRule="auto"/>
              <w:widowControl/>
              <w:jc w:val="left"/>
            </w:pPr>
            <w:r>
              <w:rPr>
                <w:rFonts w:ascii="Times New Roman" w:hAnsi="Times New Roman" w:eastAsia="宋体"/>
                <w:sz w:val="21"/>
                <w:szCs w:val="21"/>
                <w:color w:val="000000"/>
              </w:rPr>
              <w:t xml:space="preserve">Frappe Framework</w:t>
              <w:br/>
              <w:t xml:space="preserve">自建应用底座</w:t>
            </w:r>
          </w:p>
        </w:tc>
        <w:tc>
          <w:tcPr>
            <w:tcW w:w="1871" w:type="dxa"/>
            <w:vAlign w:val="center"/>
          </w:tcPr>
          <w:p>
            <w:pPr>
              <w:spacing w:before="0" w:after="0" w:line="270" w:lineRule="auto"/>
              <w:widowControl/>
              <w:jc w:val="left"/>
            </w:pPr>
            <w:r>
              <w:rPr>
                <w:rFonts w:ascii="Times New Roman" w:hAnsi="Times New Roman" w:eastAsia="宋体"/>
                <w:sz w:val="21"/>
                <w:szCs w:val="21"/>
                <w:color w:val="000000"/>
              </w:rPr>
              <w:t xml:space="preserve">MIT</w:t>
              <w:br/>
              <w:t xml:space="preserve">官方仓库与文档 [10]</w:t>
            </w:r>
          </w:p>
        </w:tc>
        <w:tc>
          <w:tcPr>
            <w:tcW w:w="2438" w:type="dxa"/>
            <w:vAlign w:val="center"/>
          </w:tcPr>
          <w:p>
            <w:pPr>
              <w:spacing w:before="0" w:after="0" w:line="270" w:lineRule="auto"/>
              <w:widowControl/>
              <w:jc w:val="left"/>
            </w:pPr>
            <w:r>
              <w:rPr>
                <w:rFonts w:ascii="Times New Roman" w:hAnsi="Times New Roman" w:eastAsia="宋体"/>
                <w:sz w:val="21"/>
                <w:szCs w:val="21"/>
                <w:color w:val="000000"/>
              </w:rPr>
              <w:t xml:space="preserve">角色权限、业务表单、数据模型与REST接口</w:t>
            </w:r>
          </w:p>
        </w:tc>
        <w:tc>
          <w:tcPr>
            <w:tcW w:w="2154" w:type="dxa"/>
            <w:vAlign w:val="center"/>
          </w:tcPr>
          <w:p>
            <w:pPr>
              <w:spacing w:before="0" w:after="0" w:line="270" w:lineRule="auto"/>
              <w:widowControl/>
              <w:jc w:val="left"/>
            </w:pPr>
            <w:r>
              <w:rPr>
                <w:rFonts w:ascii="Times New Roman" w:hAnsi="Times New Roman" w:eastAsia="宋体"/>
                <w:sz w:val="21"/>
                <w:szCs w:val="21"/>
                <w:color w:val="000000"/>
              </w:rPr>
              <w:t xml:space="preserve">可承载只读辅助工作台；业务规则仍由项目实现。</w:t>
            </w:r>
          </w:p>
        </w:tc>
      </w:tr>
    </w:tbl>
    <w:p>
      <w:pPr>
        <w:spacing w:before="0" w:after="30" w:line="300" w:lineRule="auto"/>
        <w:ind w:firstLine="420"/>
        <w:widowControl/>
      </w:pPr>
    </w:p>
    <w:p>
      <w:pPr>
        <w:spacing w:before="100" w:after="70" w:line="300" w:lineRule="auto"/>
        <w:keepNext/>
        <w:widowControl/>
      </w:pPr>
      <w:r>
        <w:rPr>
          <w:rFonts w:ascii="Times New Roman" w:hAnsi="Times New Roman" w:eastAsia="宋体"/>
          <w:sz w:val="22"/>
          <w:szCs w:val="22"/>
          <w:color w:val="000000"/>
          <w:b/>
        </w:rPr>
        <w:t xml:space="preserve">现成能力与本案例缺口</w:t>
      </w:r>
    </w:p>
    <w:p>
      <w:pPr>
        <w:spacing w:before="0" w:after="75" w:line="300" w:lineRule="auto"/>
        <w:ind w:firstLine="420"/>
        <w:widowControl/>
      </w:pPr>
      <w:r>
        <w:rPr>
          <w:rFonts w:ascii="Times New Roman" w:hAnsi="Times New Roman" w:eastAsia="宋体"/>
          <w:sz w:val="21"/>
          <w:szCs w:val="21"/>
          <w:color w:val="000000"/>
        </w:rPr>
        <w:t xml:space="preserve">Frappe HRMS可作为报销流程的主要参照，避免重新设计基础表单与常见审批概念。但代码中的项目字段不能证明它已经满足同一原票据跨多个项目分摊、金额守恒及原始依据追溯，仍须专项验证。[6][7]</w:t>
      </w:r>
    </w:p>
    <w:p>
      <w:pPr>
        <w:spacing w:before="0" w:after="75" w:line="300" w:lineRule="auto"/>
        <w:ind w:firstLine="420"/>
        <w:widowControl/>
      </w:pPr>
      <w:r>
        <w:rPr>
          <w:rFonts w:ascii="Times New Roman" w:hAnsi="Times New Roman" w:eastAsia="宋体"/>
          <w:sz w:val="21"/>
          <w:szCs w:val="21"/>
          <w:color w:val="000000"/>
        </w:rPr>
        <w:t xml:space="preserve">Odoo与OCA可组成另一条方案路线。OCA的分级审批和异常规则与本案有对应关系，但它是扩展模块集合，不能脱离Odoo独立运行。本报告固定18.0作为比较基线，不将其称为最新版本；部署时需锁定兼容的分支、依赖及提交号。[8][9]</w:t>
      </w:r>
    </w:p>
    <w:p>
      <w:pPr>
        <w:spacing w:before="0" w:after="75" w:line="300" w:lineRule="auto"/>
        <w:ind w:firstLine="420"/>
        <w:widowControl/>
      </w:pPr>
      <w:r>
        <w:rPr>
          <w:rFonts w:ascii="Times New Roman" w:hAnsi="Times New Roman" w:eastAsia="宋体"/>
          <w:sz w:val="21"/>
          <w:szCs w:val="21"/>
          <w:color w:val="000000"/>
        </w:rPr>
        <w:t xml:space="preserve">本轮核对了文档和源码，未完成安装、扫描、压测或真实业务联调。仓库仍有维护活动仅能作为候选线索，不证明生产可靠性。使用前应保存版本及许可证清单；引用项目与复制修改代码是不同的使用方式，采用代码时应逐项核对实际许可条款。</w:t>
      </w:r>
    </w:p>
    <w:p>
      <w:pPr>
        <w:spacing w:before="100" w:after="120" w:line="300" w:lineRule="auto"/>
        <w:keepNext/>
        <w:pageBreakBefore/>
        <w:widowControl/>
      </w:pPr>
      <w:r>
        <w:rPr>
          <w:rFonts w:ascii="Times New Roman" w:hAnsi="Times New Roman" w:eastAsia="宋体"/>
          <w:sz w:val="24"/>
          <w:szCs w:val="24"/>
          <w:color w:val="000000"/>
          <w:b/>
        </w:rPr>
        <w:t xml:space="preserve">四 推荐路线与自行建立的补充方案</w:t>
      </w:r>
    </w:p>
    <w:p>
      <w:pPr>
        <w:spacing w:before="0" w:after="75" w:line="300" w:lineRule="auto"/>
        <w:ind w:firstLine="420"/>
        <w:widowControl/>
      </w:pPr>
      <w:r>
        <w:rPr>
          <w:rFonts w:ascii="Times New Roman" w:hAnsi="Times New Roman" w:eastAsia="宋体"/>
          <w:sz w:val="21"/>
          <w:szCs w:val="21"/>
          <w:color w:val="000000"/>
        </w:rPr>
        <w:t xml:space="preserve">推荐以现有ERP/OA为业务记录来源，开发只读差旅报销辅助工作台。Frappe HRMS提供费用与审批设计参照；需要快速搭建表单和权限时可评估Frappe Framework。若机构已采用Odoo，再优先考虑Odoo与OCA组合，避免同时部署两套完整ERP。[6—10]</w:t>
      </w:r>
    </w:p>
    <w:p>
      <w:pPr>
        <w:spacing w:before="0" w:after="75" w:line="300" w:lineRule="auto"/>
        <w:ind w:firstLine="420"/>
        <w:widowControl/>
      </w:pPr>
      <w:r>
        <w:rPr>
          <w:rFonts w:ascii="Times New Roman" w:hAnsi="Times New Roman" w:eastAsia="宋体"/>
          <w:sz w:val="21"/>
          <w:szCs w:val="21"/>
          <w:color w:val="000000"/>
        </w:rPr>
        <w:t xml:space="preserve">本报告自行建立的方案采用“只读导入 → 数据校验 → 提交前预检／事件台账 → 人工核对 → 结果与依据留存”的结构。建议记录与原单据分开存储，任何建议都不能直接覆盖原记录。首期不涉及生产写回、支付、银行卡修改或自动替代签字。[1：research-f15、f22、f32、f52]</w:t>
      </w:r>
    </w:p>
    <w:tbl>
      <w:tblPr>
        <w:tblW w:w="83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1757"/>
        <w:gridCol w:w="3855"/>
        <w:gridCol w:w="2665"/>
      </w:tblGrid>
      <w:tr>
        <w:trPr>
          <w:cantSplit/>
          <w:tblHeader/>
        </w:trPr>
        <w:tc>
          <w:tcPr>
            <w:tcW w:w="1757"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自建部分</w:t>
            </w:r>
          </w:p>
        </w:tc>
        <w:tc>
          <w:tcPr>
            <w:tcW w:w="3855"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核心实现设计</w:t>
            </w:r>
          </w:p>
        </w:tc>
        <w:tc>
          <w:tcPr>
            <w:tcW w:w="2665"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失败处理与边界</w:t>
            </w:r>
          </w:p>
        </w:tc>
      </w:tr>
      <w:tr>
        <w:trPr>
          <w:cantSplit/>
        </w:trPr>
        <w:tc>
          <w:tcPr>
            <w:tcW w:w="1757" w:type="dxa"/>
            <w:vAlign w:val="center"/>
          </w:tcPr>
          <w:p>
            <w:pPr>
              <w:spacing w:before="0" w:after="0" w:line="270" w:lineRule="auto"/>
              <w:widowControl/>
              <w:jc w:val="left"/>
            </w:pPr>
            <w:r>
              <w:rPr>
                <w:rFonts w:ascii="Times New Roman" w:hAnsi="Times New Roman" w:eastAsia="宋体"/>
                <w:sz w:val="21"/>
                <w:szCs w:val="21"/>
                <w:color w:val="000000"/>
              </w:rPr>
              <w:t xml:space="preserve">只读接入与映射</w:t>
            </w:r>
          </w:p>
        </w:tc>
        <w:tc>
          <w:tcPr>
            <w:tcW w:w="3855" w:type="dxa"/>
            <w:vAlign w:val="center"/>
          </w:tcPr>
          <w:p>
            <w:pPr>
              <w:spacing w:before="0" w:after="0" w:line="270" w:lineRule="auto"/>
              <w:widowControl/>
              <w:jc w:val="left"/>
            </w:pPr>
            <w:r>
              <w:rPr>
                <w:rFonts w:ascii="Times New Roman" w:hAnsi="Times New Roman" w:eastAsia="宋体"/>
                <w:sz w:val="21"/>
                <w:szCs w:val="21"/>
                <w:color w:val="000000"/>
              </w:rPr>
              <w:t xml:space="preserve">导入单据、出差申请、工号映射及事件CSV；记录来源、版本、导入时间</w:t>
            </w:r>
          </w:p>
        </w:tc>
        <w:tc>
          <w:tcPr>
            <w:tcW w:w="2665" w:type="dxa"/>
            <w:vAlign w:val="center"/>
          </w:tcPr>
          <w:p>
            <w:pPr>
              <w:spacing w:before="0" w:after="0" w:line="270" w:lineRule="auto"/>
              <w:widowControl/>
              <w:jc w:val="left"/>
            </w:pPr>
            <w:r>
              <w:rPr>
                <w:rFonts w:ascii="Times New Roman" w:hAnsi="Times New Roman" w:eastAsia="宋体"/>
                <w:sz w:val="21"/>
                <w:szCs w:val="21"/>
                <w:color w:val="000000"/>
              </w:rPr>
              <w:t xml:space="preserve">缺编号或映射失败进入修复队列；禁止猜值。</w:t>
            </w:r>
          </w:p>
        </w:tc>
      </w:tr>
      <w:tr>
        <w:trPr>
          <w:cantSplit/>
        </w:trPr>
        <w:tc>
          <w:tcPr>
            <w:tcW w:w="1757" w:type="dxa"/>
            <w:vAlign w:val="center"/>
          </w:tcPr>
          <w:p>
            <w:pPr>
              <w:spacing w:before="0" w:after="0" w:line="270" w:lineRule="auto"/>
              <w:widowControl/>
              <w:jc w:val="left"/>
            </w:pPr>
            <w:r>
              <w:rPr>
                <w:rFonts w:ascii="Times New Roman" w:hAnsi="Times New Roman" w:eastAsia="宋体"/>
                <w:sz w:val="21"/>
                <w:szCs w:val="21"/>
                <w:color w:val="000000"/>
              </w:rPr>
              <w:t xml:space="preserve">缺件与分摊预检</w:t>
            </w:r>
          </w:p>
        </w:tc>
        <w:tc>
          <w:tcPr>
            <w:tcW w:w="3855" w:type="dxa"/>
            <w:vAlign w:val="center"/>
          </w:tcPr>
          <w:p>
            <w:pPr>
              <w:spacing w:before="0" w:after="0" w:line="270" w:lineRule="auto"/>
              <w:widowControl/>
              <w:jc w:val="left"/>
            </w:pPr>
            <w:r>
              <w:rPr>
                <w:rFonts w:ascii="Times New Roman" w:hAnsi="Times New Roman" w:eastAsia="宋体"/>
                <w:sz w:val="21"/>
                <w:szCs w:val="21"/>
                <w:color w:val="000000"/>
              </w:rPr>
              <w:t xml:space="preserve">必填字段、附件清单和项目有效性检查；分摊总额与原票金额用精确小数核对</w:t>
            </w:r>
          </w:p>
        </w:tc>
        <w:tc>
          <w:tcPr>
            <w:tcW w:w="2665" w:type="dxa"/>
            <w:vAlign w:val="center"/>
          </w:tcPr>
          <w:p>
            <w:pPr>
              <w:spacing w:before="0" w:after="0" w:line="270" w:lineRule="auto"/>
              <w:widowControl/>
              <w:jc w:val="left"/>
            </w:pPr>
            <w:r>
              <w:rPr>
                <w:rFonts w:ascii="Times New Roman" w:hAnsi="Times New Roman" w:eastAsia="宋体"/>
                <w:sz w:val="21"/>
                <w:szCs w:val="21"/>
                <w:color w:val="000000"/>
              </w:rPr>
              <w:t xml:space="preserve">算术通过不代表分摊获批；跨项目转财务人工确认。</w:t>
            </w:r>
          </w:p>
        </w:tc>
      </w:tr>
      <w:tr>
        <w:trPr>
          <w:cantSplit/>
        </w:trPr>
        <w:tc>
          <w:tcPr>
            <w:tcW w:w="1757" w:type="dxa"/>
            <w:vAlign w:val="center"/>
          </w:tcPr>
          <w:p>
            <w:pPr>
              <w:spacing w:before="0" w:after="0" w:line="270" w:lineRule="auto"/>
              <w:widowControl/>
              <w:jc w:val="left"/>
            </w:pPr>
            <w:r>
              <w:rPr>
                <w:rFonts w:ascii="Times New Roman" w:hAnsi="Times New Roman" w:eastAsia="宋体"/>
                <w:sz w:val="21"/>
                <w:szCs w:val="21"/>
                <w:color w:val="000000"/>
              </w:rPr>
              <w:t xml:space="preserve">制度版本登记</w:t>
            </w:r>
          </w:p>
        </w:tc>
        <w:tc>
          <w:tcPr>
            <w:tcW w:w="3855" w:type="dxa"/>
            <w:vAlign w:val="center"/>
          </w:tcPr>
          <w:p>
            <w:pPr>
              <w:spacing w:before="0" w:after="0" w:line="270" w:lineRule="auto"/>
              <w:widowControl/>
              <w:jc w:val="left"/>
            </w:pPr>
            <w:r>
              <w:rPr>
                <w:rFonts w:ascii="Times New Roman" w:hAnsi="Times New Roman" w:eastAsia="宋体"/>
                <w:sz w:val="21"/>
                <w:szCs w:val="21"/>
                <w:color w:val="000000"/>
              </w:rPr>
              <w:t xml:space="preserve">保存policy_id、version、有效期、项目范围、条款、来源及裁定人</w:t>
            </w:r>
          </w:p>
        </w:tc>
        <w:tc>
          <w:tcPr>
            <w:tcW w:w="2665" w:type="dxa"/>
            <w:vAlign w:val="center"/>
          </w:tcPr>
          <w:p>
            <w:pPr>
              <w:spacing w:before="0" w:after="0" w:line="270" w:lineRule="auto"/>
              <w:widowControl/>
              <w:jc w:val="left"/>
            </w:pPr>
            <w:r>
              <w:rPr>
                <w:rFonts w:ascii="Times New Roman" w:hAnsi="Times New Roman" w:eastAsia="宋体"/>
                <w:sz w:val="21"/>
                <w:szCs w:val="21"/>
                <w:color w:val="000000"/>
              </w:rPr>
              <w:t xml:space="preserve">版本重叠或依据不足时停止相关自动建议。</w:t>
            </w:r>
          </w:p>
        </w:tc>
      </w:tr>
      <w:tr>
        <w:trPr>
          <w:cantSplit/>
        </w:trPr>
        <w:tc>
          <w:tcPr>
            <w:tcW w:w="1757" w:type="dxa"/>
            <w:vAlign w:val="center"/>
          </w:tcPr>
          <w:p>
            <w:pPr>
              <w:spacing w:before="0" w:after="0" w:line="270" w:lineRule="auto"/>
              <w:widowControl/>
              <w:jc w:val="left"/>
            </w:pPr>
            <w:r>
              <w:rPr>
                <w:rFonts w:ascii="Times New Roman" w:hAnsi="Times New Roman" w:eastAsia="宋体"/>
                <w:sz w:val="21"/>
                <w:szCs w:val="21"/>
                <w:color w:val="000000"/>
              </w:rPr>
              <w:t xml:space="preserve">节点事件台账</w:t>
            </w:r>
          </w:p>
        </w:tc>
        <w:tc>
          <w:tcPr>
            <w:tcW w:w="3855" w:type="dxa"/>
            <w:vAlign w:val="center"/>
          </w:tcPr>
          <w:p>
            <w:pPr>
              <w:spacing w:before="0" w:after="0" w:line="270" w:lineRule="auto"/>
              <w:widowControl/>
              <w:jc w:val="left"/>
            </w:pPr>
            <w:r>
              <w:rPr>
                <w:rFonts w:ascii="Times New Roman" w:hAnsi="Times New Roman" w:eastAsia="宋体"/>
                <w:sz w:val="21"/>
                <w:szCs w:val="21"/>
                <w:color w:val="000000"/>
              </w:rPr>
              <w:t xml:space="preserve">保存业务编号、事件标识、事件时间、接收时间、来源及版本；区分补交与复核</w:t>
            </w:r>
          </w:p>
        </w:tc>
        <w:tc>
          <w:tcPr>
            <w:tcW w:w="2665" w:type="dxa"/>
            <w:vAlign w:val="center"/>
          </w:tcPr>
          <w:p>
            <w:pPr>
              <w:spacing w:before="0" w:after="0" w:line="270" w:lineRule="auto"/>
              <w:widowControl/>
              <w:jc w:val="left"/>
            </w:pPr>
            <w:r>
              <w:rPr>
                <w:rFonts w:ascii="Times New Roman" w:hAnsi="Times New Roman" w:eastAsia="宋体"/>
                <w:sz w:val="21"/>
                <w:szCs w:val="21"/>
                <w:color w:val="000000"/>
              </w:rPr>
              <w:t xml:space="preserve">乱序事件重排，重复导入幂等；缺事件标记未知。</w:t>
            </w:r>
          </w:p>
        </w:tc>
      </w:tr>
      <w:tr>
        <w:trPr>
          <w:cantSplit/>
        </w:trPr>
        <w:tc>
          <w:tcPr>
            <w:tcW w:w="1757" w:type="dxa"/>
            <w:vAlign w:val="center"/>
          </w:tcPr>
          <w:p>
            <w:pPr>
              <w:spacing w:before="0" w:after="0" w:line="270" w:lineRule="auto"/>
              <w:widowControl/>
              <w:jc w:val="left"/>
            </w:pPr>
            <w:r>
              <w:rPr>
                <w:rFonts w:ascii="Times New Roman" w:hAnsi="Times New Roman" w:eastAsia="宋体"/>
                <w:sz w:val="21"/>
                <w:szCs w:val="21"/>
                <w:color w:val="000000"/>
              </w:rPr>
              <w:t xml:space="preserve">异常交接与追溯</w:t>
            </w:r>
          </w:p>
        </w:tc>
        <w:tc>
          <w:tcPr>
            <w:tcW w:w="3855" w:type="dxa"/>
            <w:vAlign w:val="center"/>
          </w:tcPr>
          <w:p>
            <w:pPr>
              <w:spacing w:before="0" w:after="0" w:line="270" w:lineRule="auto"/>
              <w:widowControl/>
              <w:jc w:val="left"/>
            </w:pPr>
            <w:r>
              <w:rPr>
                <w:rFonts w:ascii="Times New Roman" w:hAnsi="Times New Roman" w:eastAsia="宋体"/>
                <w:sz w:val="21"/>
                <w:szCs w:val="21"/>
                <w:color w:val="000000"/>
              </w:rPr>
              <w:t xml:space="preserve">保存原因、处理人、截止时间、接收确认、人工修正及签核依据</w:t>
            </w:r>
          </w:p>
        </w:tc>
        <w:tc>
          <w:tcPr>
            <w:tcW w:w="2665" w:type="dxa"/>
            <w:vAlign w:val="center"/>
          </w:tcPr>
          <w:p>
            <w:pPr>
              <w:spacing w:before="0" w:after="0" w:line="270" w:lineRule="auto"/>
              <w:widowControl/>
              <w:jc w:val="left"/>
            </w:pPr>
            <w:r>
              <w:rPr>
                <w:rFonts w:ascii="Times New Roman" w:hAnsi="Times New Roman" w:eastAsia="宋体"/>
                <w:sz w:val="21"/>
                <w:szCs w:val="21"/>
                <w:color w:val="000000"/>
              </w:rPr>
              <w:t xml:space="preserve">发送消息不代表责任转移；无人接收则仍保留原待办。</w:t>
            </w:r>
          </w:p>
        </w:tc>
      </w:tr>
    </w:tbl>
    <w:p>
      <w:pPr>
        <w:spacing w:before="0" w:after="30" w:line="300" w:lineRule="auto"/>
        <w:ind w:firstLine="420"/>
        <w:widowControl/>
      </w:pPr>
    </w:p>
    <w:p>
      <w:pPr>
        <w:spacing w:before="0" w:after="75" w:line="300" w:lineRule="auto"/>
        <w:ind w:firstLine="420"/>
        <w:widowControl/>
      </w:pPr>
      <w:r>
        <w:rPr>
          <w:rFonts w:ascii="Times New Roman" w:hAnsi="Times New Roman" w:eastAsia="宋体"/>
          <w:sz w:val="21"/>
          <w:szCs w:val="21"/>
          <w:color w:val="000000"/>
        </w:rPr>
        <w:t xml:space="preserve">AI可在后续用于条款检索和缺件说明，但首个MVP可先由确定性规则完成。若加入生成式解释，每条建议须附对应单据字段和制度条款；模型不能自行选定冲突版本，也不能将识别文本视为发票真实性结论。</w:t>
      </w:r>
    </w:p>
    <w:p>
      <w:pPr>
        <w:spacing w:before="0" w:after="75" w:line="300" w:lineRule="auto"/>
        <w:ind w:firstLine="420"/>
        <w:widowControl/>
      </w:pPr>
      <w:r>
        <w:rPr>
          <w:rFonts w:ascii="Times New Roman" w:hAnsi="Times New Roman" w:eastAsia="宋体"/>
          <w:sz w:val="21"/>
          <w:szCs w:val="21"/>
          <w:color w:val="000000"/>
        </w:rPr>
        <w:t xml:space="preserve">数据每天两次刷新，并显示最后同步时间；超过约定周期标为待刷新。接口中断时继续原人工流程，恢复后按稳定业务键和来源事件键补齐，避免重复创建待办。角色按项目及财务职责授权，日志不保存完整卡号等非必要敏感字段。[1：research-f33—f35、f41、f44—f45]</w:t>
      </w:r>
    </w:p>
    <w:p>
      <w:pPr>
        <w:spacing w:before="100" w:after="120" w:line="300" w:lineRule="auto"/>
        <w:keepNext/>
        <w:pageBreakBefore/>
        <w:widowControl/>
      </w:pPr>
      <w:r>
        <w:rPr>
          <w:rFonts w:ascii="Times New Roman" w:hAnsi="Times New Roman" w:eastAsia="宋体"/>
          <w:sz w:val="24"/>
          <w:szCs w:val="24"/>
          <w:color w:val="000000"/>
          <w:b/>
        </w:rPr>
        <w:t xml:space="preserve">五 试点计划与价值评估</w:t>
      </w:r>
    </w:p>
    <w:p>
      <w:pPr>
        <w:spacing w:before="100" w:after="70" w:line="300" w:lineRule="auto"/>
        <w:keepNext/>
        <w:widowControl/>
      </w:pPr>
      <w:r>
        <w:rPr>
          <w:rFonts w:ascii="Times New Roman" w:hAnsi="Times New Roman" w:eastAsia="宋体"/>
          <w:sz w:val="22"/>
          <w:szCs w:val="22"/>
          <w:color w:val="000000"/>
          <w:b/>
        </w:rPr>
        <w:t xml:space="preserve">分阶段验证</w:t>
      </w:r>
    </w:p>
    <w:p>
      <w:pPr>
        <w:spacing w:before="0" w:after="75" w:line="300" w:lineRule="auto"/>
        <w:ind w:firstLine="420"/>
        <w:widowControl/>
      </w:pPr>
      <w:r>
        <w:rPr>
          <w:rFonts w:ascii="Times New Roman" w:hAnsi="Times New Roman" w:eastAsia="宋体"/>
          <w:sz w:val="21"/>
          <w:szCs w:val="21"/>
          <w:color w:val="000000"/>
        </w:rPr>
        <w:t xml:space="preserve">第一阶段核对一个项目组的境内普通差旅范围、正式制度、字段样例及角色权限。第二阶段用脱敏历史数据回放，先测等待分布和补件原因。第三阶段选20单进行建议影子验证，由审核员逐单核对。第四阶段在同一业务范围并行试点，保留原流程并每周复盘。阶段能否推进取决于证据和验收，不预设已经达成效果。[1：research-f05、f42、f55]</w:t>
      </w:r>
    </w:p>
    <w:tbl>
      <w:tblPr>
        <w:tblW w:w="83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1644"/>
        <w:gridCol w:w="4139"/>
        <w:gridCol w:w="2494"/>
      </w:tblGrid>
      <w:tr>
        <w:trPr>
          <w:cantSplit/>
          <w:tblHeader/>
        </w:trPr>
        <w:tc>
          <w:tcPr>
            <w:tcW w:w="1644"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指标</w:t>
            </w:r>
          </w:p>
        </w:tc>
        <w:tc>
          <w:tcPr>
            <w:tcW w:w="4139"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建议统计口径</w:t>
            </w:r>
          </w:p>
        </w:tc>
        <w:tc>
          <w:tcPr>
            <w:tcW w:w="2494" w:type="dxa"/>
            <w:vAlign w:val="center"/>
            <w:shd w:fill="E7EFF5" w:val="clear"/>
          </w:tcPr>
          <w:p>
            <w:pPr>
              <w:spacing w:before="0" w:after="0" w:line="270" w:lineRule="auto"/>
              <w:keepNext/>
              <w:widowControl/>
              <w:jc w:val="left"/>
            </w:pPr>
            <w:r>
              <w:rPr>
                <w:rFonts w:ascii="Times New Roman" w:hAnsi="Times New Roman" w:eastAsia="宋体"/>
                <w:sz w:val="21"/>
                <w:szCs w:val="21"/>
                <w:color w:val="000000"/>
                <w:b/>
              </w:rPr>
              <w:t xml:space="preserve">验收或判断方式</w:t>
            </w:r>
          </w:p>
        </w:tc>
      </w:tr>
      <w:tr>
        <w:trPr>
          <w:cantSplit/>
        </w:trPr>
        <w:tc>
          <w:tcPr>
            <w:tcW w:w="1644" w:type="dxa"/>
            <w:vAlign w:val="center"/>
          </w:tcPr>
          <w:p>
            <w:pPr>
              <w:spacing w:before="0" w:after="0" w:line="270" w:lineRule="auto"/>
              <w:widowControl/>
              <w:jc w:val="left"/>
            </w:pPr>
            <w:r>
              <w:rPr>
                <w:rFonts w:ascii="Times New Roman" w:hAnsi="Times New Roman" w:eastAsia="宋体"/>
                <w:sz w:val="21"/>
                <w:szCs w:val="21"/>
                <w:color w:val="000000"/>
              </w:rPr>
              <w:t xml:space="preserve">补件率</w:t>
            </w:r>
          </w:p>
        </w:tc>
        <w:tc>
          <w:tcPr>
            <w:tcW w:w="4139" w:type="dxa"/>
            <w:vAlign w:val="center"/>
          </w:tcPr>
          <w:p>
            <w:pPr>
              <w:spacing w:before="0" w:after="0" w:line="270" w:lineRule="auto"/>
              <w:widowControl/>
              <w:jc w:val="left"/>
            </w:pPr>
            <w:r>
              <w:rPr>
                <w:rFonts w:ascii="Times New Roman" w:hAnsi="Times New Roman" w:eastAsia="宋体"/>
                <w:sz w:val="21"/>
                <w:szCs w:val="21"/>
                <w:color w:val="000000"/>
              </w:rPr>
              <w:t xml:space="preserve">同一统计周期内至少补件一次的去重单据数／纳入观察且已完成观察期的提交单数</w:t>
            </w:r>
          </w:p>
        </w:tc>
        <w:tc>
          <w:tcPr>
            <w:tcW w:w="2494" w:type="dxa"/>
            <w:vAlign w:val="center"/>
          </w:tcPr>
          <w:p>
            <w:pPr>
              <w:spacing w:before="0" w:after="0" w:line="270" w:lineRule="auto"/>
              <w:widowControl/>
              <w:jc w:val="left"/>
            </w:pPr>
            <w:r>
              <w:rPr>
                <w:rFonts w:ascii="Times New Roman" w:hAnsi="Times New Roman" w:eastAsia="宋体"/>
                <w:sz w:val="21"/>
                <w:szCs w:val="21"/>
                <w:color w:val="000000"/>
              </w:rPr>
              <w:t xml:space="preserve">低于15%为业务目标；同时报告样本量和原因分布。</w:t>
            </w:r>
          </w:p>
        </w:tc>
      </w:tr>
      <w:tr>
        <w:trPr>
          <w:cantSplit/>
        </w:trPr>
        <w:tc>
          <w:tcPr>
            <w:tcW w:w="1644" w:type="dxa"/>
            <w:vAlign w:val="center"/>
          </w:tcPr>
          <w:p>
            <w:pPr>
              <w:spacing w:before="0" w:after="0" w:line="270" w:lineRule="auto"/>
              <w:widowControl/>
              <w:jc w:val="left"/>
            </w:pPr>
            <w:r>
              <w:rPr>
                <w:rFonts w:ascii="Times New Roman" w:hAnsi="Times New Roman" w:eastAsia="宋体"/>
                <w:sz w:val="21"/>
                <w:szCs w:val="21"/>
                <w:color w:val="000000"/>
              </w:rPr>
              <w:t xml:space="preserve">审核周期</w:t>
            </w:r>
          </w:p>
        </w:tc>
        <w:tc>
          <w:tcPr>
            <w:tcW w:w="4139" w:type="dxa"/>
            <w:vAlign w:val="center"/>
          </w:tcPr>
          <w:p>
            <w:pPr>
              <w:spacing w:before="0" w:after="0" w:line="270" w:lineRule="auto"/>
              <w:widowControl/>
              <w:jc w:val="left"/>
            </w:pPr>
            <w:r>
              <w:rPr>
                <w:rFonts w:ascii="Times New Roman" w:hAnsi="Times New Roman" w:eastAsia="宋体"/>
                <w:sz w:val="21"/>
                <w:szCs w:val="21"/>
                <w:color w:val="000000"/>
              </w:rPr>
              <w:t xml:space="preserve">从首次提交到财务复核通过；保留补件等待，另报各节点等待及P50/P90</w:t>
            </w:r>
          </w:p>
        </w:tc>
        <w:tc>
          <w:tcPr>
            <w:tcW w:w="2494" w:type="dxa"/>
            <w:vAlign w:val="center"/>
          </w:tcPr>
          <w:p>
            <w:pPr>
              <w:spacing w:before="0" w:after="0" w:line="270" w:lineRule="auto"/>
              <w:widowControl/>
              <w:jc w:val="left"/>
            </w:pPr>
            <w:r>
              <w:rPr>
                <w:rFonts w:ascii="Times New Roman" w:hAnsi="Times New Roman" w:eastAsia="宋体"/>
                <w:sz w:val="21"/>
                <w:szCs w:val="21"/>
                <w:color w:val="000000"/>
              </w:rPr>
              <w:t xml:space="preserve">3天目标须先确认自然日或工作日及达标比例。</w:t>
            </w:r>
          </w:p>
        </w:tc>
      </w:tr>
      <w:tr>
        <w:trPr>
          <w:cantSplit/>
        </w:trPr>
        <w:tc>
          <w:tcPr>
            <w:tcW w:w="1644" w:type="dxa"/>
            <w:vAlign w:val="center"/>
          </w:tcPr>
          <w:p>
            <w:pPr>
              <w:spacing w:before="0" w:after="0" w:line="270" w:lineRule="auto"/>
              <w:widowControl/>
              <w:jc w:val="left"/>
            </w:pPr>
            <w:r>
              <w:rPr>
                <w:rFonts w:ascii="Times New Roman" w:hAnsi="Times New Roman" w:eastAsia="宋体"/>
                <w:sz w:val="21"/>
                <w:szCs w:val="21"/>
                <w:color w:val="000000"/>
              </w:rPr>
              <w:t xml:space="preserve">到账周期</w:t>
            </w:r>
          </w:p>
        </w:tc>
        <w:tc>
          <w:tcPr>
            <w:tcW w:w="4139" w:type="dxa"/>
            <w:vAlign w:val="center"/>
          </w:tcPr>
          <w:p>
            <w:pPr>
              <w:spacing w:before="0" w:after="0" w:line="270" w:lineRule="auto"/>
              <w:widowControl/>
              <w:jc w:val="left"/>
            </w:pPr>
            <w:r>
              <w:rPr>
                <w:rFonts w:ascii="Times New Roman" w:hAnsi="Times New Roman" w:eastAsia="宋体"/>
                <w:sz w:val="21"/>
                <w:szCs w:val="21"/>
                <w:color w:val="000000"/>
              </w:rPr>
              <w:t xml:space="preserve">从首次提交到实际付款完成；与复核通过到付款的间隔分开报告</w:t>
            </w:r>
          </w:p>
        </w:tc>
        <w:tc>
          <w:tcPr>
            <w:tcW w:w="2494" w:type="dxa"/>
            <w:vAlign w:val="center"/>
          </w:tcPr>
          <w:p>
            <w:pPr>
              <w:spacing w:before="0" w:after="0" w:line="270" w:lineRule="auto"/>
              <w:widowControl/>
              <w:jc w:val="left"/>
            </w:pPr>
            <w:r>
              <w:rPr>
                <w:rFonts w:ascii="Times New Roman" w:hAnsi="Times New Roman" w:eastAsia="宋体"/>
                <w:sz w:val="21"/>
                <w:szCs w:val="21"/>
                <w:color w:val="000000"/>
              </w:rPr>
              <w:t xml:space="preserve">受周二、四批处理影响，不用审核完成代替到账。</w:t>
            </w:r>
          </w:p>
        </w:tc>
      </w:tr>
      <w:tr>
        <w:trPr>
          <w:cantSplit/>
        </w:trPr>
        <w:tc>
          <w:tcPr>
            <w:tcW w:w="1644" w:type="dxa"/>
            <w:vAlign w:val="center"/>
          </w:tcPr>
          <w:p>
            <w:pPr>
              <w:spacing w:before="0" w:after="0" w:line="270" w:lineRule="auto"/>
              <w:widowControl/>
              <w:jc w:val="left"/>
            </w:pPr>
            <w:r>
              <w:rPr>
                <w:rFonts w:ascii="Times New Roman" w:hAnsi="Times New Roman" w:eastAsia="宋体"/>
                <w:sz w:val="21"/>
                <w:szCs w:val="21"/>
                <w:color w:val="000000"/>
              </w:rPr>
              <w:t xml:space="preserve">建议可追溯率</w:t>
            </w:r>
          </w:p>
        </w:tc>
        <w:tc>
          <w:tcPr>
            <w:tcW w:w="4139" w:type="dxa"/>
            <w:vAlign w:val="center"/>
          </w:tcPr>
          <w:p>
            <w:pPr>
              <w:spacing w:before="0" w:after="0" w:line="270" w:lineRule="auto"/>
              <w:widowControl/>
              <w:jc w:val="left"/>
            </w:pPr>
            <w:r>
              <w:rPr>
                <w:rFonts w:ascii="Times New Roman" w:hAnsi="Times New Roman" w:eastAsia="宋体"/>
                <w:sz w:val="21"/>
                <w:szCs w:val="21"/>
                <w:color w:val="000000"/>
              </w:rPr>
              <w:t xml:space="preserve">可同时定位原字段、条款版本及人工处置的建议数／全部建议数</w:t>
            </w:r>
          </w:p>
        </w:tc>
        <w:tc>
          <w:tcPr>
            <w:tcW w:w="2494" w:type="dxa"/>
            <w:vAlign w:val="center"/>
          </w:tcPr>
          <w:p>
            <w:pPr>
              <w:spacing w:before="0" w:after="0" w:line="270" w:lineRule="auto"/>
              <w:widowControl/>
              <w:jc w:val="left"/>
            </w:pPr>
            <w:r>
              <w:rPr>
                <w:rFonts w:ascii="Times New Roman" w:hAnsi="Times New Roman" w:eastAsia="宋体"/>
                <w:sz w:val="21"/>
                <w:szCs w:val="21"/>
                <w:color w:val="000000"/>
              </w:rPr>
              <w:t xml:space="preserve">设计门槛100%；缺依据转人工。</w:t>
            </w:r>
          </w:p>
        </w:tc>
      </w:tr>
      <w:tr>
        <w:trPr>
          <w:cantSplit/>
        </w:trPr>
        <w:tc>
          <w:tcPr>
            <w:tcW w:w="1644" w:type="dxa"/>
            <w:vAlign w:val="center"/>
          </w:tcPr>
          <w:p>
            <w:pPr>
              <w:spacing w:before="0" w:after="0" w:line="270" w:lineRule="auto"/>
              <w:widowControl/>
              <w:jc w:val="left"/>
            </w:pPr>
            <w:r>
              <w:rPr>
                <w:rFonts w:ascii="Times New Roman" w:hAnsi="Times New Roman" w:eastAsia="宋体"/>
                <w:sz w:val="21"/>
                <w:szCs w:val="21"/>
                <w:color w:val="000000"/>
              </w:rPr>
              <w:t xml:space="preserve">技术与权限</w:t>
            </w:r>
          </w:p>
        </w:tc>
        <w:tc>
          <w:tcPr>
            <w:tcW w:w="4139" w:type="dxa"/>
            <w:vAlign w:val="center"/>
          </w:tcPr>
          <w:p>
            <w:pPr>
              <w:spacing w:before="0" w:after="0" w:line="270" w:lineRule="auto"/>
              <w:widowControl/>
              <w:jc w:val="left"/>
            </w:pPr>
            <w:r>
              <w:rPr>
                <w:rFonts w:ascii="Times New Roman" w:hAnsi="Times New Roman" w:eastAsia="宋体"/>
                <w:sz w:val="21"/>
                <w:szCs w:val="21"/>
                <w:color w:val="000000"/>
              </w:rPr>
              <w:t xml:space="preserve">重复导入、乱序事件、缺失字段、版本冲突、接口故障及越权操作测试</w:t>
            </w:r>
          </w:p>
        </w:tc>
        <w:tc>
          <w:tcPr>
            <w:tcW w:w="2494" w:type="dxa"/>
            <w:vAlign w:val="center"/>
          </w:tcPr>
          <w:p>
            <w:pPr>
              <w:spacing w:before="0" w:after="0" w:line="270" w:lineRule="auto"/>
              <w:widowControl/>
              <w:jc w:val="left"/>
            </w:pPr>
            <w:r>
              <w:rPr>
                <w:rFonts w:ascii="Times New Roman" w:hAnsi="Times New Roman" w:eastAsia="宋体"/>
                <w:sz w:val="21"/>
                <w:szCs w:val="21"/>
                <w:color w:val="000000"/>
              </w:rPr>
              <w:t xml:space="preserve">不得重复建待办、猜值、覆盖原记录或越权。</w:t>
            </w:r>
          </w:p>
        </w:tc>
      </w:tr>
    </w:tbl>
    <w:p>
      <w:pPr>
        <w:spacing w:before="0" w:after="30" w:line="300" w:lineRule="auto"/>
        <w:ind w:firstLine="420"/>
        <w:widowControl/>
      </w:pPr>
    </w:p>
    <w:p>
      <w:pPr>
        <w:spacing w:before="100" w:after="70" w:line="300" w:lineRule="auto"/>
        <w:keepNext/>
        <w:widowControl/>
      </w:pPr>
      <w:r>
        <w:rPr>
          <w:rFonts w:ascii="Times New Roman" w:hAnsi="Times New Roman" w:eastAsia="宋体"/>
          <w:sz w:val="22"/>
          <w:szCs w:val="22"/>
          <w:color w:val="000000"/>
          <w:b/>
        </w:rPr>
        <w:t xml:space="preserve">投入与收益的计算依据</w:t>
      </w:r>
    </w:p>
    <w:p>
      <w:pPr>
        <w:spacing w:before="0" w:after="75" w:line="300" w:lineRule="auto"/>
        <w:ind w:firstLine="420"/>
        <w:widowControl/>
      </w:pPr>
      <w:r>
        <w:rPr>
          <w:rFonts w:ascii="Times New Roman" w:hAnsi="Times New Roman" w:eastAsia="宋体"/>
          <w:sz w:val="21"/>
          <w:szCs w:val="21"/>
          <w:color w:val="000000"/>
        </w:rPr>
        <w:t xml:space="preserve">10万元是案例试点预算上限，尚不是报价。成本应计入需求与制度梳理、接口适配、开发测试、培训、人工复核、部署维护及资源使用；既有系统历史采购不计为本项目节省。开源许可证不收软件使用费也不意味着实施和维护没有成本。[1：research-f03]</w:t>
      </w:r>
    </w:p>
    <w:p>
      <w:pPr>
        <w:spacing w:before="0" w:after="75" w:line="300" w:lineRule="auto"/>
        <w:ind w:firstLine="420"/>
        <w:widowControl/>
      </w:pPr>
      <w:r>
        <w:rPr>
          <w:rFonts w:ascii="Times New Roman" w:hAnsi="Times New Roman" w:eastAsia="宋体"/>
          <w:sz w:val="21"/>
          <w:szCs w:val="21"/>
          <w:color w:val="000000"/>
        </w:rPr>
        <w:t xml:space="preserve">可按“月单量 × 每单实测节省操作分钟 ÷ 60 × 人员小时成本”估算操作时间价值，再扣除新增运维和复核支出；这不等于现金支出必然下降。排队等待缩短不能直接作为劳动工时节省。缺少真实单量和工时差值前，不给出回本周期或投资回报率。</w:t>
      </w:r>
    </w:p>
    <w:p>
      <w:pPr>
        <w:spacing w:before="0" w:after="75" w:line="300" w:lineRule="auto"/>
        <w:ind w:firstLine="420"/>
        <w:widowControl/>
      </w:pPr>
      <w:r>
        <w:rPr>
          <w:rFonts w:ascii="Times New Roman" w:hAnsi="Times New Roman" w:eastAsia="宋体"/>
          <w:sz w:val="21"/>
          <w:szCs w:val="21"/>
          <w:color w:val="000000"/>
        </w:rPr>
        <w:t xml:space="preserve">建议MVP验收演示一单完整流程：导入 → 缺件提示 → 员工补充 → 人工确认制度与分摊 → 复核完成记录 → 交接清单。另演示冲突版本、缺字段、重复CSV和接口失败四类异常。原材料的90天仅指合成试点评价记录暂留，不能套用于真实会计档案。[1：research-f43]</w:t>
      </w:r>
    </w:p>
    <w:p>
      <w:pPr>
        <w:spacing w:before="0" w:after="75" w:line="300" w:lineRule="auto"/>
        <w:ind w:firstLine="420"/>
        <w:widowControl/>
      </w:pPr>
      <w:r>
        <w:rPr>
          <w:rFonts w:ascii="Times New Roman" w:hAnsi="Times New Roman" w:eastAsia="宋体"/>
          <w:sz w:val="21"/>
          <w:szCs w:val="21"/>
          <w:color w:val="000000"/>
        </w:rPr>
        <w:t xml:space="preserve">本轮交付为行业研究与选型方案。下一步先验证数据和候选组件，再确定实施版本及工程范围；未安装验证的开源能力，不作为已实现功能写入验收清单。</w:t>
      </w:r>
    </w:p>
    <w:p>
      <w:pPr>
        <w:spacing w:before="100" w:after="120" w:line="300" w:lineRule="auto"/>
        <w:keepNext/>
        <w:pageBreakBefore/>
        <w:widowControl/>
      </w:pPr>
      <w:r>
        <w:rPr>
          <w:rFonts w:ascii="Times New Roman" w:hAnsi="Times New Roman" w:eastAsia="宋体"/>
          <w:sz w:val="24"/>
          <w:szCs w:val="24"/>
          <w:color w:val="000000"/>
          <w:b/>
        </w:rPr>
        <w:t xml:space="preserve">六 参考资料与可核查来源</w:t>
      </w:r>
    </w:p>
    <w:p>
      <w:pPr>
        <w:spacing w:before="0" w:after="75" w:line="300" w:lineRule="auto"/>
        <w:ind w:firstLine="420"/>
        <w:widowControl/>
      </w:pPr>
      <w:r>
        <w:rPr>
          <w:rFonts w:ascii="Times New Roman" w:hAnsi="Times New Roman" w:eastAsia="宋体"/>
          <w:sz w:val="21"/>
          <w:szCs w:val="21"/>
          <w:color w:val="000000"/>
        </w:rPr>
        <w:t xml:space="preserve">正文方括号对应下列来源。网络材料访问日期为2026年10月29日；仓库分支为本轮核对范围，可能后续变化。链接用于定位官方说明、源码或许可证，不表示已经在本地完成部署。</w:t>
      </w:r>
    </w:p>
    <w:p>
      <w:pPr>
        <w:spacing w:before="0" w:after="110" w:line="300" w:lineRule="auto"/>
        <w:widowControl/>
      </w:pPr>
      <w:r>
        <w:rPr>
          <w:rFonts w:ascii="Times New Roman" w:hAnsi="Times New Roman" w:eastAsia="宋体"/>
          <w:sz w:val="21"/>
          <w:szCs w:val="21"/>
          <w:color w:val="000000"/>
        </w:rPr>
        <w:t xml:space="preserve">[1] 澄岳研究院业务需求发现报告。用户提供 discovery-report.md，生成于2026年10月29日；合成场景。文内research-f编号用于定位证据。</w:t>
      </w:r>
    </w:p>
    <w:p>
      <w:pPr>
        <w:spacing w:before="0" w:after="110" w:line="300" w:lineRule="auto"/>
        <w:widowControl/>
      </w:pPr>
      <w:r>
        <w:rPr>
          <w:rFonts w:ascii="Times New Roman" w:hAnsi="Times New Roman" w:eastAsia="宋体"/>
          <w:sz w:val="21"/>
          <w:szCs w:val="21"/>
          <w:color w:val="000000"/>
        </w:rPr>
        <w:t xml:space="preserve">[2] 财政部等 关于推广应用电子凭证会计数据标准的通知。财会〔2025〕9号，2025年5月。</w:t>
      </w:r>
      <w:hyperlink r:id="rIdIndustry1001">
        <w:r>
          <w:rPr>
            <w:rFonts w:ascii="Times New Roman" w:hAnsi="Times New Roman" w:eastAsia="宋体"/>
            <w:sz w:val="20"/>
            <w:szCs w:val="20"/>
            <w:color w:val="000000"/>
          </w:rPr>
          <w:t xml:space="preserve"> 查看来源</w:t>
        </w:r>
      </w:hyperlink>
    </w:p>
    <w:p>
      <w:pPr>
        <w:spacing w:before="0" w:after="110" w:line="300" w:lineRule="auto"/>
        <w:widowControl/>
      </w:pPr>
      <w:r>
        <w:rPr>
          <w:rFonts w:ascii="Times New Roman" w:hAnsi="Times New Roman" w:eastAsia="宋体"/>
          <w:sz w:val="21"/>
          <w:szCs w:val="21"/>
          <w:color w:val="000000"/>
        </w:rPr>
        <w:t xml:space="preserve">[3] 国家税务总局 关于推广应用全面数字化电子发票的公告。公告2024年第11号，2024年12月1日起施行。</w:t>
      </w:r>
      <w:hyperlink r:id="rIdIndustry1002">
        <w:r>
          <w:rPr>
            <w:rFonts w:ascii="Times New Roman" w:hAnsi="Times New Roman" w:eastAsia="宋体"/>
            <w:sz w:val="20"/>
            <w:szCs w:val="20"/>
            <w:color w:val="000000"/>
          </w:rPr>
          <w:t xml:space="preserve"> 查看来源</w:t>
        </w:r>
      </w:hyperlink>
    </w:p>
    <w:p>
      <w:pPr>
        <w:spacing w:before="0" w:after="110" w:line="300" w:lineRule="auto"/>
        <w:widowControl/>
      </w:pPr>
      <w:r>
        <w:rPr>
          <w:rFonts w:ascii="Times New Roman" w:hAnsi="Times New Roman" w:eastAsia="宋体"/>
          <w:sz w:val="21"/>
          <w:szCs w:val="21"/>
          <w:color w:val="000000"/>
        </w:rPr>
        <w:t xml:space="preserve">[4] 财政部 会计信息化工作规范。财会〔2024〕11号，重点参照第16—17、25—26条。</w:t>
      </w:r>
      <w:hyperlink r:id="rIdIndustry1003">
        <w:r>
          <w:rPr>
            <w:rFonts w:ascii="Times New Roman" w:hAnsi="Times New Roman" w:eastAsia="宋体"/>
            <w:sz w:val="20"/>
            <w:szCs w:val="20"/>
            <w:color w:val="000000"/>
          </w:rPr>
          <w:t xml:space="preserve"> 查看来源</w:t>
        </w:r>
      </w:hyperlink>
    </w:p>
    <w:p>
      <w:pPr>
        <w:spacing w:before="0" w:after="110" w:line="300" w:lineRule="auto"/>
        <w:widowControl/>
      </w:pPr>
      <w:r>
        <w:rPr>
          <w:rFonts w:ascii="Times New Roman" w:hAnsi="Times New Roman" w:eastAsia="宋体"/>
          <w:sz w:val="21"/>
          <w:szCs w:val="21"/>
          <w:color w:val="000000"/>
        </w:rPr>
        <w:t xml:space="preserve">[5] 国务院办公厅 关于改革完善中央财政科研经费管理的若干意见。国办发〔2021〕32号，参照科研财务助理与无纸化报销安排。</w:t>
      </w:r>
      <w:hyperlink r:id="rIdIndustry1004">
        <w:r>
          <w:rPr>
            <w:rFonts w:ascii="Times New Roman" w:hAnsi="Times New Roman" w:eastAsia="宋体"/>
            <w:sz w:val="20"/>
            <w:szCs w:val="20"/>
            <w:color w:val="000000"/>
          </w:rPr>
          <w:t xml:space="preserve"> 查看来源</w:t>
        </w:r>
      </w:hyperlink>
    </w:p>
    <w:p>
      <w:pPr>
        <w:spacing w:before="0" w:after="110" w:line="300" w:lineRule="auto"/>
        <w:widowControl/>
      </w:pPr>
      <w:r>
        <w:rPr>
          <w:rFonts w:ascii="Times New Roman" w:hAnsi="Times New Roman" w:eastAsia="宋体"/>
          <w:sz w:val="21"/>
          <w:szCs w:val="21"/>
          <w:color w:val="000000"/>
        </w:rPr>
        <w:t xml:space="preserve">[6] Frappe HRMS 官方仓库。报销及审批功能说明；许可证GPL-3.0。</w:t>
      </w:r>
      <w:hyperlink r:id="rIdIndustry1005">
        <w:r>
          <w:rPr>
            <w:rFonts w:ascii="Times New Roman" w:hAnsi="Times New Roman" w:eastAsia="宋体"/>
            <w:sz w:val="20"/>
            <w:szCs w:val="20"/>
            <w:color w:val="000000"/>
          </w:rPr>
          <w:t xml:space="preserve"> 查看来源</w:t>
        </w:r>
      </w:hyperlink>
    </w:p>
    <w:p>
      <w:pPr>
        <w:spacing w:before="0" w:after="110" w:line="300" w:lineRule="auto"/>
        <w:widowControl/>
      </w:pPr>
      <w:r>
        <w:rPr>
          <w:rFonts w:ascii="Times New Roman" w:hAnsi="Times New Roman" w:eastAsia="宋体"/>
          <w:sz w:val="21"/>
          <w:szCs w:val="21"/>
          <w:color w:val="000000"/>
        </w:rPr>
        <w:t xml:space="preserve">[7] Frappe HR Expense Claim 官方文档。费用报销业务说明。</w:t>
      </w:r>
      <w:hyperlink r:id="rIdIndustry1006">
        <w:r>
          <w:rPr>
            <w:rFonts w:ascii="Times New Roman" w:hAnsi="Times New Roman" w:eastAsia="宋体"/>
            <w:sz w:val="20"/>
            <w:szCs w:val="20"/>
            <w:color w:val="000000"/>
          </w:rPr>
          <w:t xml:space="preserve"> 查看来源</w:t>
        </w:r>
      </w:hyperlink>
    </w:p>
    <w:p>
      <w:pPr>
        <w:spacing w:before="0" w:after="110" w:line="300" w:lineRule="auto"/>
        <w:widowControl/>
      </w:pPr>
      <w:r>
        <w:rPr>
          <w:rFonts w:ascii="Times New Roman" w:hAnsi="Times New Roman" w:eastAsia="宋体"/>
          <w:sz w:val="21"/>
          <w:szCs w:val="21"/>
          <w:color w:val="000000"/>
        </w:rPr>
        <w:t xml:space="preserve">[8] Odoo hr_expense 18.0 官方源码。费用状态、附件、分析核算等能力；模块许可证LGPL-3。</w:t>
      </w:r>
      <w:hyperlink r:id="rIdIndustry1007">
        <w:r>
          <w:rPr>
            <w:rFonts w:ascii="Times New Roman" w:hAnsi="Times New Roman" w:eastAsia="宋体"/>
            <w:sz w:val="20"/>
            <w:szCs w:val="20"/>
            <w:color w:val="000000"/>
          </w:rPr>
          <w:t xml:space="preserve"> 查看来源</w:t>
        </w:r>
      </w:hyperlink>
    </w:p>
    <w:p>
      <w:pPr>
        <w:spacing w:before="0" w:after="110" w:line="300" w:lineRule="auto"/>
        <w:widowControl/>
      </w:pPr>
      <w:r>
        <w:rPr>
          <w:rFonts w:ascii="Times New Roman" w:hAnsi="Times New Roman" w:eastAsia="宋体"/>
          <w:sz w:val="21"/>
          <w:szCs w:val="21"/>
          <w:color w:val="000000"/>
        </w:rPr>
        <w:t xml:space="preserve">[9] OCA hr-expense 18.0 扩展仓库。重点模块hr_expense_exception、hr_expense_tier_validation。</w:t>
      </w:r>
      <w:hyperlink r:id="rIdIndustry1008">
        <w:r>
          <w:rPr>
            <w:rFonts w:ascii="Times New Roman" w:hAnsi="Times New Roman" w:eastAsia="宋体"/>
            <w:sz w:val="20"/>
            <w:szCs w:val="20"/>
            <w:color w:val="000000"/>
          </w:rPr>
          <w:t xml:space="preserve"> 查看来源</w:t>
        </w:r>
      </w:hyperlink>
    </w:p>
    <w:p>
      <w:pPr>
        <w:spacing w:before="0" w:after="110" w:line="300" w:lineRule="auto"/>
        <w:widowControl/>
      </w:pPr>
      <w:r>
        <w:rPr>
          <w:rFonts w:ascii="Times New Roman" w:hAnsi="Times New Roman" w:eastAsia="宋体"/>
          <w:sz w:val="21"/>
          <w:szCs w:val="21"/>
          <w:color w:val="000000"/>
        </w:rPr>
        <w:t xml:space="preserve">[10] Frappe Framework 官方仓库。应用开发框架；MIT许可证。</w:t>
      </w:r>
      <w:hyperlink r:id="rIdIndustry1009">
        <w:r>
          <w:rPr>
            <w:rFonts w:ascii="Times New Roman" w:hAnsi="Times New Roman" w:eastAsia="宋体"/>
            <w:sz w:val="20"/>
            <w:szCs w:val="20"/>
            <w:color w:val="000000"/>
          </w:rPr>
          <w:t xml:space="preserve"> 查看来源</w:t>
        </w:r>
      </w:hyperlink>
    </w:p>
    <w:p>
      <w:pPr>
        <w:spacing w:before="0" w:after="75" w:line="300" w:lineRule="auto"/>
        <w:ind w:firstLine="420"/>
        <w:widowControl/>
      </w:pPr>
      <w:r>
        <w:rPr>
          <w:rFonts w:ascii="Times New Roman" w:hAnsi="Times New Roman" w:eastAsia="宋体"/>
          <w:sz w:val="21"/>
          <w:szCs w:val="21"/>
          <w:color w:val="000000"/>
        </w:rPr>
        <w:t xml:space="preserve">代码复用前的核对入口：各仓库LICENSE／license.txt及具体模块的__manifest__.py。Frappe HRMS、Frappe Framework和OCA模块属于不同许可边界，不能仅按框架许可证推断整个组合系统的许可。最终实施应留存选定提交、依赖、原版权声明及修改记录。</w:t>
      </w:r>
    </w:p>
    <w:p w14:paraId="369978CF">
      <w:pPr>
        <w:widowControl/>
        <w:jc w:val="left"/>
        <w:rPr>
          <w:rFonts w:ascii="仿宋_GB2312" w:hAnsi="宋体" w:eastAsia="仿宋_GB2312"/>
          <w:sz w:val="24"/>
          <w:szCs w:val="24"/>
        </w:rPr>
        <w:sectPr>
          <w:headerReference r:id="rId3" w:type="default"/>
          <w:footerReference r:id="rId4" w:type="default"/>
          <w:pgSz w:w="11906" w:h="16838"/>
          <w:pgMar w:top="1440" w:right="1800" w:bottom="1440" w:left="1800" w:header="851" w:footer="992" w:gutter="0"/>
          <w:cols w:space="720" w:num="1"/>
          <w:docGrid w:type="lines" w:linePitch="312" w:charSpace="0"/>
        </w:sectPr>
      </w:pPr>
    </w:p>
    <w:p w14:paraId="38BC7205">
      <w:pPr>
        <w:widowControl/>
        <w:jc w:val="left"/>
        <w:rPr>
          <w:rFonts w:ascii="仿宋_GB2312" w:hAnsi="宋体" w:eastAsia="仿宋_GB2312"/>
          <w:sz w:val="24"/>
          <w:szCs w:val="24"/>
        </w:rPr>
      </w:pPr>
      <w:r>
        <w:rPr>
          <w:rFonts w:hint="eastAsia" w:ascii="仿宋_GB2312" w:hAnsi="宋体" w:eastAsia="仿宋_GB2312" w:cs="仿宋_GB2312"/>
          <w:sz w:val="24"/>
          <w:szCs w:val="24"/>
        </w:rPr>
        <w:t>评价表格：</w:t>
      </w:r>
    </w:p>
    <w:tbl>
      <w:tblPr>
        <w:tblStyle w:val="6"/>
        <w:tblW w:w="8522"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79"/>
        <w:gridCol w:w="1043"/>
      </w:tblGrid>
      <w:tr w14:paraId="6720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tcPr>
          <w:p w14:paraId="306EF4F9">
            <w:pPr>
              <w:spacing w:line="300" w:lineRule="auto"/>
              <w:jc w:val="center"/>
              <w:rPr>
                <w:rFonts w:ascii="仿宋" w:hAnsi="仿宋" w:eastAsia="仿宋"/>
                <w:b/>
                <w:bCs/>
                <w:kern w:val="0"/>
              </w:rPr>
            </w:pPr>
            <w:r>
              <w:rPr>
                <w:rFonts w:hint="eastAsia" w:ascii="仿宋" w:hAnsi="仿宋" w:eastAsia="仿宋" w:cs="仿宋"/>
                <w:b/>
                <w:bCs/>
                <w:kern w:val="0"/>
              </w:rPr>
              <w:t>考核标准</w:t>
            </w:r>
          </w:p>
        </w:tc>
        <w:tc>
          <w:tcPr>
            <w:tcW w:w="1043" w:type="dxa"/>
          </w:tcPr>
          <w:p w14:paraId="2BB8AF0D">
            <w:pPr>
              <w:widowControl/>
              <w:jc w:val="center"/>
              <w:rPr>
                <w:rFonts w:ascii="仿宋" w:hAnsi="仿宋" w:eastAsia="仿宋"/>
                <w:b/>
                <w:bCs/>
                <w:kern w:val="0"/>
              </w:rPr>
            </w:pPr>
            <w:r>
              <w:rPr>
                <w:rFonts w:hint="eastAsia" w:ascii="仿宋" w:hAnsi="仿宋" w:eastAsia="仿宋" w:cs="仿宋"/>
                <w:b/>
                <w:bCs/>
                <w:kern w:val="0"/>
              </w:rPr>
              <w:t>得分</w:t>
            </w:r>
          </w:p>
        </w:tc>
      </w:tr>
      <w:tr w14:paraId="70B6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tcPr>
          <w:p w14:paraId="603E2623">
            <w:pPr>
              <w:spacing w:line="300" w:lineRule="auto"/>
              <w:rPr>
                <w:rFonts w:ascii="仿宋" w:hAnsi="仿宋" w:eastAsia="仿宋"/>
                <w:kern w:val="0"/>
              </w:rPr>
            </w:pPr>
            <w:r>
              <w:rPr>
                <w:rFonts w:hint="eastAsia" w:ascii="仿宋" w:hAnsi="仿宋" w:eastAsia="仿宋" w:cs="仿宋"/>
                <w:kern w:val="0"/>
              </w:rPr>
              <w:t>（</w:t>
            </w:r>
            <w:r>
              <w:rPr>
                <w:rFonts w:ascii="仿宋" w:hAnsi="仿宋" w:eastAsia="仿宋" w:cs="仿宋"/>
                <w:kern w:val="0"/>
              </w:rPr>
              <w:t>1</w:t>
            </w:r>
            <w:r>
              <w:rPr>
                <w:rFonts w:hint="eastAsia" w:ascii="仿宋" w:hAnsi="仿宋" w:eastAsia="仿宋" w:cs="仿宋"/>
                <w:kern w:val="0"/>
              </w:rPr>
              <w:t>）报告格式规范、语言通顺（</w:t>
            </w:r>
            <w:r>
              <w:rPr>
                <w:rFonts w:ascii="仿宋" w:hAnsi="仿宋" w:eastAsia="仿宋" w:cs="仿宋"/>
                <w:kern w:val="0"/>
              </w:rPr>
              <w:t>10%</w:t>
            </w:r>
            <w:r>
              <w:rPr>
                <w:rFonts w:hint="eastAsia" w:ascii="仿宋" w:hAnsi="仿宋" w:eastAsia="仿宋" w:cs="仿宋"/>
                <w:kern w:val="0"/>
              </w:rPr>
              <w:t>）；</w:t>
            </w:r>
          </w:p>
        </w:tc>
        <w:tc>
          <w:tcPr>
            <w:tcW w:w="1043" w:type="dxa"/>
          </w:tcPr>
          <w:p w14:paraId="4B49FE88">
            <w:pPr>
              <w:widowControl/>
              <w:jc w:val="left"/>
              <w:rPr>
                <w:rFonts w:ascii="仿宋" w:hAnsi="仿宋" w:eastAsia="仿宋"/>
                <w:kern w:val="0"/>
              </w:rPr>
            </w:pPr>
          </w:p>
        </w:tc>
      </w:tr>
      <w:tr w14:paraId="053C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tcPr>
          <w:p w14:paraId="2407C561">
            <w:pPr>
              <w:spacing w:line="300" w:lineRule="auto"/>
              <w:rPr>
                <w:rFonts w:ascii="仿宋" w:hAnsi="仿宋" w:eastAsia="仿宋"/>
                <w:kern w:val="0"/>
              </w:rPr>
            </w:pPr>
            <w:r>
              <w:rPr>
                <w:rFonts w:hint="eastAsia" w:ascii="仿宋" w:hAnsi="仿宋" w:eastAsia="仿宋" w:cs="仿宋"/>
                <w:kern w:val="0"/>
              </w:rPr>
              <w:t>（</w:t>
            </w:r>
            <w:r>
              <w:rPr>
                <w:rFonts w:ascii="仿宋" w:hAnsi="仿宋" w:eastAsia="仿宋" w:cs="仿宋"/>
                <w:kern w:val="0"/>
              </w:rPr>
              <w:t>2</w:t>
            </w:r>
            <w:r>
              <w:rPr>
                <w:rFonts w:hint="eastAsia" w:ascii="仿宋" w:hAnsi="仿宋" w:eastAsia="仿宋" w:cs="仿宋"/>
                <w:kern w:val="0"/>
              </w:rPr>
              <w:t>）质量标准分析合理（1</w:t>
            </w:r>
            <w:r>
              <w:rPr>
                <w:rFonts w:ascii="仿宋" w:hAnsi="仿宋" w:eastAsia="仿宋" w:cs="仿宋"/>
                <w:kern w:val="0"/>
              </w:rPr>
              <w:t>0%</w:t>
            </w:r>
            <w:r>
              <w:rPr>
                <w:rFonts w:hint="eastAsia" w:ascii="仿宋" w:hAnsi="仿宋" w:eastAsia="仿宋" w:cs="仿宋"/>
                <w:kern w:val="0"/>
              </w:rPr>
              <w:t>）；</w:t>
            </w:r>
          </w:p>
        </w:tc>
        <w:tc>
          <w:tcPr>
            <w:tcW w:w="1043" w:type="dxa"/>
          </w:tcPr>
          <w:p w14:paraId="592BED55">
            <w:pPr>
              <w:widowControl/>
              <w:jc w:val="left"/>
              <w:rPr>
                <w:rFonts w:ascii="仿宋" w:hAnsi="仿宋" w:eastAsia="仿宋"/>
                <w:kern w:val="0"/>
              </w:rPr>
            </w:pPr>
          </w:p>
        </w:tc>
      </w:tr>
      <w:tr w14:paraId="345E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tcPr>
          <w:p w14:paraId="06B4BA6C">
            <w:pPr>
              <w:spacing w:line="300" w:lineRule="auto"/>
              <w:rPr>
                <w:rFonts w:ascii="仿宋" w:hAnsi="仿宋" w:eastAsia="仿宋"/>
                <w:kern w:val="0"/>
              </w:rPr>
            </w:pPr>
            <w:r>
              <w:rPr>
                <w:rFonts w:hint="eastAsia" w:ascii="仿宋" w:hAnsi="仿宋" w:eastAsia="仿宋" w:cs="仿宋"/>
                <w:kern w:val="0"/>
              </w:rPr>
              <w:t>（</w:t>
            </w:r>
            <w:r>
              <w:rPr>
                <w:rFonts w:ascii="仿宋" w:hAnsi="仿宋" w:eastAsia="仿宋" w:cs="仿宋"/>
                <w:kern w:val="0"/>
              </w:rPr>
              <w:t>3</w:t>
            </w:r>
            <w:r>
              <w:rPr>
                <w:rFonts w:hint="eastAsia" w:ascii="仿宋" w:hAnsi="仿宋" w:eastAsia="仿宋" w:cs="仿宋"/>
                <w:kern w:val="0"/>
              </w:rPr>
              <w:t>）测试方法分析全面、合理（</w:t>
            </w:r>
            <w:r>
              <w:rPr>
                <w:rFonts w:ascii="仿宋" w:hAnsi="仿宋" w:eastAsia="仿宋" w:cs="仿宋"/>
                <w:kern w:val="0"/>
              </w:rPr>
              <w:t>20%</w:t>
            </w:r>
            <w:r>
              <w:rPr>
                <w:rFonts w:hint="eastAsia" w:ascii="仿宋" w:hAnsi="仿宋" w:eastAsia="仿宋" w:cs="仿宋"/>
                <w:kern w:val="0"/>
              </w:rPr>
              <w:t>）；</w:t>
            </w:r>
          </w:p>
        </w:tc>
        <w:tc>
          <w:tcPr>
            <w:tcW w:w="1043" w:type="dxa"/>
          </w:tcPr>
          <w:p w14:paraId="5E606DBE">
            <w:pPr>
              <w:widowControl/>
              <w:jc w:val="left"/>
              <w:rPr>
                <w:rFonts w:ascii="仿宋" w:hAnsi="仿宋" w:eastAsia="仿宋"/>
                <w:kern w:val="0"/>
              </w:rPr>
            </w:pPr>
          </w:p>
        </w:tc>
      </w:tr>
      <w:tr w14:paraId="155A9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tcPr>
          <w:p w14:paraId="37F015F1">
            <w:pPr>
              <w:spacing w:line="300" w:lineRule="auto"/>
              <w:rPr>
                <w:rFonts w:ascii="仿宋" w:hAnsi="仿宋" w:eastAsia="仿宋"/>
                <w:kern w:val="0"/>
              </w:rPr>
            </w:pPr>
            <w:r>
              <w:rPr>
                <w:rFonts w:hint="eastAsia" w:ascii="仿宋" w:hAnsi="仿宋" w:eastAsia="仿宋" w:cs="仿宋"/>
                <w:kern w:val="0"/>
              </w:rPr>
              <w:t>（</w:t>
            </w:r>
            <w:r>
              <w:rPr>
                <w:rFonts w:ascii="仿宋" w:hAnsi="仿宋" w:eastAsia="仿宋" w:cs="仿宋"/>
                <w:kern w:val="0"/>
              </w:rPr>
              <w:t>4</w:t>
            </w:r>
            <w:r>
              <w:rPr>
                <w:rFonts w:hint="eastAsia" w:ascii="仿宋" w:hAnsi="仿宋" w:eastAsia="仿宋" w:cs="仿宋"/>
                <w:kern w:val="0"/>
              </w:rPr>
              <w:t>）测试风险分析全面、合理（</w:t>
            </w:r>
            <w:r>
              <w:rPr>
                <w:rFonts w:ascii="仿宋" w:hAnsi="仿宋" w:eastAsia="仿宋" w:cs="仿宋"/>
                <w:kern w:val="0"/>
              </w:rPr>
              <w:t>20%</w:t>
            </w:r>
            <w:r>
              <w:rPr>
                <w:rFonts w:hint="eastAsia" w:ascii="仿宋" w:hAnsi="仿宋" w:eastAsia="仿宋" w:cs="仿宋"/>
                <w:kern w:val="0"/>
              </w:rPr>
              <w:t>）；</w:t>
            </w:r>
          </w:p>
        </w:tc>
        <w:tc>
          <w:tcPr>
            <w:tcW w:w="1043" w:type="dxa"/>
          </w:tcPr>
          <w:p w14:paraId="1086904D">
            <w:pPr>
              <w:widowControl/>
              <w:jc w:val="left"/>
              <w:rPr>
                <w:rFonts w:ascii="仿宋" w:hAnsi="仿宋" w:eastAsia="仿宋"/>
                <w:kern w:val="0"/>
              </w:rPr>
            </w:pPr>
          </w:p>
        </w:tc>
      </w:tr>
      <w:tr w14:paraId="182C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tcPr>
          <w:p w14:paraId="4EEB5B32">
            <w:pPr>
              <w:spacing w:line="300" w:lineRule="auto"/>
              <w:rPr>
                <w:rFonts w:ascii="仿宋" w:hAnsi="仿宋" w:eastAsia="仿宋"/>
                <w:kern w:val="0"/>
              </w:rPr>
            </w:pPr>
            <w:r>
              <w:rPr>
                <w:rFonts w:hint="eastAsia" w:ascii="仿宋" w:hAnsi="仿宋" w:eastAsia="仿宋" w:cs="仿宋"/>
                <w:kern w:val="0"/>
              </w:rPr>
              <w:t>（</w:t>
            </w:r>
            <w:r>
              <w:rPr>
                <w:rFonts w:ascii="仿宋" w:hAnsi="仿宋" w:eastAsia="仿宋" w:cs="仿宋"/>
                <w:kern w:val="0"/>
              </w:rPr>
              <w:t>5</w:t>
            </w:r>
            <w:r>
              <w:rPr>
                <w:rFonts w:hint="eastAsia" w:ascii="仿宋" w:hAnsi="仿宋" w:eastAsia="仿宋" w:cs="仿宋"/>
                <w:kern w:val="0"/>
              </w:rPr>
              <w:t>）测试总体测试策略全面、合理（3</w:t>
            </w:r>
            <w:r>
              <w:rPr>
                <w:rFonts w:ascii="仿宋" w:hAnsi="仿宋" w:eastAsia="仿宋" w:cs="仿宋"/>
                <w:kern w:val="0"/>
              </w:rPr>
              <w:t>0%</w:t>
            </w:r>
            <w:r>
              <w:rPr>
                <w:rFonts w:hint="eastAsia" w:ascii="仿宋" w:hAnsi="仿宋" w:eastAsia="仿宋" w:cs="仿宋"/>
                <w:kern w:val="0"/>
              </w:rPr>
              <w:t>）</w:t>
            </w:r>
          </w:p>
        </w:tc>
        <w:tc>
          <w:tcPr>
            <w:tcW w:w="1043" w:type="dxa"/>
          </w:tcPr>
          <w:p w14:paraId="36167FA8">
            <w:pPr>
              <w:widowControl/>
              <w:jc w:val="left"/>
              <w:rPr>
                <w:rFonts w:ascii="仿宋" w:hAnsi="仿宋" w:eastAsia="仿宋"/>
                <w:kern w:val="0"/>
              </w:rPr>
            </w:pPr>
          </w:p>
        </w:tc>
      </w:tr>
      <w:tr w14:paraId="4964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tcPr>
          <w:p w14:paraId="6EB43FAF">
            <w:pPr>
              <w:spacing w:line="300" w:lineRule="auto"/>
              <w:rPr>
                <w:rFonts w:ascii="仿宋" w:hAnsi="仿宋" w:eastAsia="仿宋" w:cs="仿宋"/>
                <w:kern w:val="0"/>
              </w:rPr>
            </w:pPr>
            <w:r>
              <w:rPr>
                <w:rFonts w:hint="eastAsia" w:ascii="仿宋" w:hAnsi="仿宋" w:eastAsia="仿宋" w:cs="仿宋"/>
                <w:kern w:val="0"/>
              </w:rPr>
              <w:t>（6）测试充分性判断标准合理（10%）</w:t>
            </w:r>
          </w:p>
        </w:tc>
        <w:tc>
          <w:tcPr>
            <w:tcW w:w="1043" w:type="dxa"/>
          </w:tcPr>
          <w:p w14:paraId="13FC1955">
            <w:pPr>
              <w:widowControl/>
              <w:jc w:val="left"/>
              <w:rPr>
                <w:rFonts w:ascii="仿宋" w:hAnsi="仿宋" w:eastAsia="仿宋"/>
                <w:kern w:val="0"/>
              </w:rPr>
            </w:pPr>
          </w:p>
        </w:tc>
      </w:tr>
    </w:tbl>
    <w:p w14:paraId="32DAE905">
      <w:pPr>
        <w:widowControl/>
        <w:jc w:val="left"/>
        <w:rPr>
          <w:rFonts w:ascii="仿宋_GB2312" w:hAnsi="宋体" w:eastAsia="仿宋_GB2312"/>
          <w:sz w:val="24"/>
          <w:szCs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BED45">
    <w:pPr>
      <w:pStyle w:val="4"/>
      <w:jc w:val="center"/>
      <w:rPr>
        <w:rFonts w:ascii="宋体"/>
        <w:sz w:val="21"/>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C2EF0"/>
  <w:p w14:paraId="24A17E3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FF7"/>
    <w:rsid w:val="00004924"/>
    <w:rsid w:val="0004082D"/>
    <w:rsid w:val="00122EF6"/>
    <w:rsid w:val="001B25B7"/>
    <w:rsid w:val="00210F7B"/>
    <w:rsid w:val="002A68D5"/>
    <w:rsid w:val="002B1E36"/>
    <w:rsid w:val="002E6DAA"/>
    <w:rsid w:val="00300C0D"/>
    <w:rsid w:val="0031225C"/>
    <w:rsid w:val="00327EE0"/>
    <w:rsid w:val="003939A9"/>
    <w:rsid w:val="003D5142"/>
    <w:rsid w:val="004C0520"/>
    <w:rsid w:val="00543D41"/>
    <w:rsid w:val="0056650E"/>
    <w:rsid w:val="006271D4"/>
    <w:rsid w:val="00652FF7"/>
    <w:rsid w:val="00670E8A"/>
    <w:rsid w:val="00777921"/>
    <w:rsid w:val="00780EF2"/>
    <w:rsid w:val="007B2FC0"/>
    <w:rsid w:val="007B59F3"/>
    <w:rsid w:val="007E21F6"/>
    <w:rsid w:val="007E763B"/>
    <w:rsid w:val="007F5A3E"/>
    <w:rsid w:val="008E5344"/>
    <w:rsid w:val="00911CFD"/>
    <w:rsid w:val="00956CF2"/>
    <w:rsid w:val="00A15A10"/>
    <w:rsid w:val="00A4464A"/>
    <w:rsid w:val="00AB32CB"/>
    <w:rsid w:val="00AE7B1B"/>
    <w:rsid w:val="00BB2BBC"/>
    <w:rsid w:val="00BC35C9"/>
    <w:rsid w:val="00BE2E5F"/>
    <w:rsid w:val="00C70D3A"/>
    <w:rsid w:val="00C85277"/>
    <w:rsid w:val="00D02F64"/>
    <w:rsid w:val="00DF1951"/>
    <w:rsid w:val="00DF2C02"/>
    <w:rsid w:val="00E12444"/>
    <w:rsid w:val="00E749A8"/>
    <w:rsid w:val="00E85B11"/>
    <w:rsid w:val="00E911C2"/>
    <w:rsid w:val="00F61227"/>
    <w:rsid w:val="00F93499"/>
    <w:rsid w:val="00F95DEC"/>
    <w:rsid w:val="00FE3EF8"/>
    <w:rsid w:val="05F15D1D"/>
    <w:rsid w:val="0695635D"/>
    <w:rsid w:val="0C620734"/>
    <w:rsid w:val="12FD788F"/>
    <w:rsid w:val="1A101EFF"/>
    <w:rsid w:val="1AB55DD4"/>
    <w:rsid w:val="1C787CA6"/>
    <w:rsid w:val="23E65FFA"/>
    <w:rsid w:val="32FB6306"/>
    <w:rsid w:val="36034403"/>
    <w:rsid w:val="38DD575A"/>
    <w:rsid w:val="3BDF39ED"/>
    <w:rsid w:val="3D775432"/>
    <w:rsid w:val="47351CE1"/>
    <w:rsid w:val="4C987DD0"/>
    <w:rsid w:val="60CA19D8"/>
    <w:rsid w:val="665D5E75"/>
    <w:rsid w:val="6D2E4BAB"/>
    <w:rsid w:val="71E75D3D"/>
    <w:rsid w:val="720A10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nhideWhenUsed="0" w:uiPriority="99" w:semiHidden="0" w:name="heading 3"/>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3"/>
    <w:basedOn w:val="1"/>
    <w:next w:val="1"/>
    <w:link w:val="9"/>
    <w:qFormat/>
    <w:uiPriority w:val="99"/>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0"/>
    <w:semiHidden/>
    <w:qFormat/>
    <w:uiPriority w:val="99"/>
    <w:rPr>
      <w:sz w:val="18"/>
      <w:szCs w:val="18"/>
    </w:rPr>
  </w:style>
  <w:style w:type="paragraph" w:styleId="4">
    <w:name w:val="footer"/>
    <w:basedOn w:val="1"/>
    <w:link w:val="11"/>
    <w:qFormat/>
    <w:uiPriority w:val="99"/>
    <w:pPr>
      <w:tabs>
        <w:tab w:val="center" w:pos="4153"/>
        <w:tab w:val="right" w:pos="8306"/>
      </w:tabs>
      <w:snapToGrid w:val="0"/>
      <w:jc w:val="left"/>
    </w:pPr>
    <w:rPr>
      <w:sz w:val="18"/>
      <w:szCs w:val="18"/>
    </w:rPr>
  </w:style>
  <w:style w:type="paragraph" w:styleId="5">
    <w:name w:val="header"/>
    <w:basedOn w:val="1"/>
    <w:link w:val="12"/>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3 字符"/>
    <w:link w:val="2"/>
    <w:semiHidden/>
    <w:qFormat/>
    <w:locked/>
    <w:uiPriority w:val="99"/>
    <w:rPr>
      <w:rFonts w:ascii="Times New Roman" w:hAnsi="Times New Roman" w:eastAsia="宋体" w:cs="Times New Roman"/>
      <w:b/>
      <w:bCs/>
      <w:sz w:val="32"/>
      <w:szCs w:val="32"/>
    </w:rPr>
  </w:style>
  <w:style w:type="character" w:customStyle="1" w:styleId="10">
    <w:name w:val="批注框文本 字符"/>
    <w:link w:val="3"/>
    <w:semiHidden/>
    <w:qFormat/>
    <w:locked/>
    <w:uiPriority w:val="99"/>
    <w:rPr>
      <w:rFonts w:ascii="Times New Roman" w:hAnsi="Times New Roman" w:eastAsia="宋体" w:cs="Times New Roman"/>
      <w:sz w:val="18"/>
      <w:szCs w:val="18"/>
    </w:rPr>
  </w:style>
  <w:style w:type="character" w:customStyle="1" w:styleId="11">
    <w:name w:val="页脚 字符"/>
    <w:link w:val="4"/>
    <w:qFormat/>
    <w:locked/>
    <w:uiPriority w:val="99"/>
    <w:rPr>
      <w:rFonts w:ascii="Times New Roman" w:hAnsi="Times New Roman" w:eastAsia="宋体" w:cs="Times New Roman"/>
      <w:sz w:val="18"/>
      <w:szCs w:val="18"/>
    </w:rPr>
  </w:style>
  <w:style w:type="character" w:customStyle="1" w:styleId="12">
    <w:name w:val="页眉 字符"/>
    <w:link w:val="5"/>
    <w:qFormat/>
    <w:locked/>
    <w:uiPriority w:val="99"/>
    <w:rPr>
      <w:rFonts w:ascii="Times New Roman" w:hAnsi="Times New Roman" w:eastAsia="宋体" w:cs="Times New Roman"/>
      <w:sz w:val="18"/>
      <w:szCs w:val="18"/>
    </w:rPr>
  </w:style>
  <w:style w:type="paragraph" w:customStyle="1" w:styleId="13">
    <w:name w:val="List Paragraph1"/>
    <w:basedOn w:val="1"/>
    <w:qFormat/>
    <w:uiPriority w:val="99"/>
    <w:pPr>
      <w:ind w:firstLine="420" w:firstLineChars="200"/>
    </w:pPr>
  </w:style>
  <w:style w:type="paragraph" w:styleId="IndustryTitle">
    <w:name w:val="Title"/>
    <w:basedOn w:val="1"/>
    <w:qFormat/>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Industry1001" Type="http://schemas.openxmlformats.org/officeDocument/2006/relationships/hyperlink" Target="https://www.mof.gov.cn/jrttts/202505/t20250521_3964264.htm" TargetMode="External"/><Relationship Id="rIdIndustry1002" Type="http://schemas.openxmlformats.org/officeDocument/2006/relationships/hyperlink" Target="https://fgk.chinatax.gov.cn/zcfgk/c100012/c5236067/content.html" TargetMode="External"/><Relationship Id="rIdIndustry1003" Type="http://schemas.openxmlformats.org/officeDocument/2006/relationships/hyperlink" Target="https://kjs.mof.gov.cn/zhengcefabu/202408/P020240805628932632907.pdf" TargetMode="External"/><Relationship Id="rIdIndustry1004" Type="http://schemas.openxmlformats.org/officeDocument/2006/relationships/hyperlink" Target="https://most.gov.cn/xxgk/xinxifenlei/fdzdgknr/fgzc/gfxwj/gfxwj2021/202108/t20210813_176373.html" TargetMode="External"/><Relationship Id="rIdIndustry1005" Type="http://schemas.openxmlformats.org/officeDocument/2006/relationships/hyperlink" Target="https://github.com/frappe/hrms" TargetMode="External"/><Relationship Id="rIdIndustry1006" Type="http://schemas.openxmlformats.org/officeDocument/2006/relationships/hyperlink" Target="https://docs.frappe.io/hr/expense-claim" TargetMode="External"/><Relationship Id="rIdIndustry1007" Type="http://schemas.openxmlformats.org/officeDocument/2006/relationships/hyperlink" Target="https://github.com/odoo/odoo/tree/18.0/addons/hr_expense" TargetMode="External"/><Relationship Id="rIdIndustry1008" Type="http://schemas.openxmlformats.org/officeDocument/2006/relationships/hyperlink" Target="https://github.com/OCA/hr-expense/tree/18.0" TargetMode="External"/><Relationship Id="rIdIndustry1009" Type="http://schemas.openxmlformats.org/officeDocument/2006/relationships/hyperlink" Target="https://github.com/frappe/frap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3</Pages>
  <Words>364</Words>
  <Characters>401</Characters>
  <Lines>3</Lines>
  <Paragraphs>1</Paragraphs>
  <TotalTime>6</TotalTime>
  <ScaleCrop>false</ScaleCrop>
  <LinksUpToDate>false</LinksUpToDate>
  <CharactersWithSpaces>444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2023-08-22T04:51:00Z</dcterms:created>
  <dc:creator>微软用户</dc:creator>
  <cp:lastModifiedBy>依帆临水</cp:lastModifiedBy>
  <dcterms:modified xsi:type="dcterms:W3CDTF">2026-10-08T11:26:42Z</dcterms:modified>
  <dc:title>课程编号：B0801*****</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eyJoZGlkIjoiNDgwYTczMWY1MmU4Njk2MDNiY2QyNDljNjZhY2Y5OGIiLCJ1c2VySWQiOiIzMTAyOTEwNTUifQ==</vt:lpwstr>
  </property>
  <property fmtid="{D5CDD505-2E9C-101B-9397-08002B2CF9AE}" pid="4" name="ICV">
    <vt:lpwstr>2FCBE16CC9AA4110AD018CF3B4DFFEB0_12</vt:lpwstr>
  </property>
</Properties>
</file>