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9499" w14:textId="65AEFEF3" w:rsidR="7DCB8E97" w:rsidRDefault="7DCB8E97" w:rsidP="4A7AF503">
      <w:r>
        <w:t>ENSF 692 Project</w:t>
      </w:r>
    </w:p>
    <w:p w14:paraId="5813B987" w14:textId="3DDD9A9D" w:rsidR="7DCB8E97" w:rsidRDefault="7DCB8E97" w:rsidP="4A7AF503">
      <w:r>
        <w:t>Group 7</w:t>
      </w:r>
    </w:p>
    <w:p w14:paraId="65F1A0E1" w14:textId="58AEEC6B" w:rsidR="7DCB8E97" w:rsidRDefault="7DCB8E97" w:rsidP="4A7AF503">
      <w:r>
        <w:t>Jack Shenfield &amp; John Zhou</w:t>
      </w:r>
    </w:p>
    <w:p w14:paraId="3EF1B3A6" w14:textId="240D431F" w:rsidR="7DCB8E97" w:rsidRDefault="7DCB8E97" w:rsidP="4A7AF503">
      <w:r>
        <w:t>June 20</w:t>
      </w:r>
      <w:r w:rsidRPr="4A7AF503">
        <w:rPr>
          <w:vertAlign w:val="superscript"/>
        </w:rPr>
        <w:t>th</w:t>
      </w:r>
      <w:proofErr w:type="gramStart"/>
      <w:r>
        <w:t xml:space="preserve"> 2025</w:t>
      </w:r>
      <w:proofErr w:type="gramEnd"/>
    </w:p>
    <w:p w14:paraId="44296445" w14:textId="1352A508" w:rsidR="4A7AF503" w:rsidRDefault="4A7AF503" w:rsidP="4A7AF503"/>
    <w:p w14:paraId="03E635F6" w14:textId="543CDC6F" w:rsidR="4A7AF503" w:rsidRDefault="4A7AF503" w:rsidP="4A7AF503"/>
    <w:p w14:paraId="645EEF28" w14:textId="2781CAA1" w:rsidR="7DCB8E97" w:rsidRDefault="7DCB8E97" w:rsidP="004D0D6C">
      <w:pPr>
        <w:pStyle w:val="Heading1"/>
      </w:pPr>
      <w:r>
        <w:t>Dataset</w:t>
      </w:r>
      <w:r w:rsidR="004D0D6C">
        <w:t>s</w:t>
      </w:r>
    </w:p>
    <w:p w14:paraId="7A59AC6D" w14:textId="6ADA97E4" w:rsidR="7DCB8E97" w:rsidRDefault="7DCB8E97" w:rsidP="4A7AF503">
      <w:r>
        <w:t xml:space="preserve">Multiple datasets were selected </w:t>
      </w:r>
      <w:r w:rsidR="3415D994">
        <w:t>from Statistics</w:t>
      </w:r>
      <w:r w:rsidR="7D4D6EE2">
        <w:t xml:space="preserve"> Canada. The group</w:t>
      </w:r>
      <w:r w:rsidR="3F3731C8">
        <w:t>’</w:t>
      </w:r>
      <w:r w:rsidR="7D4D6EE2">
        <w:t xml:space="preserve">s initial focus was on interprovincial migration, so </w:t>
      </w:r>
      <w:r w:rsidR="50F735DC">
        <w:t xml:space="preserve">we looked for datasets that we thought may have some sort of correlation. In no </w:t>
      </w:r>
      <w:proofErr w:type="gramStart"/>
      <w:r w:rsidR="50F735DC">
        <w:t>particular order</w:t>
      </w:r>
      <w:proofErr w:type="gramEnd"/>
      <w:r w:rsidR="50F735DC">
        <w:t>, the chosen datasets were:</w:t>
      </w:r>
    </w:p>
    <w:p w14:paraId="102AB1A0" w14:textId="3097D7F5" w:rsidR="268A6955" w:rsidRDefault="268A6955" w:rsidP="4A7AF503">
      <w:pPr>
        <w:pStyle w:val="ListParagraph"/>
        <w:numPr>
          <w:ilvl w:val="0"/>
          <w:numId w:val="1"/>
        </w:numPr>
      </w:pPr>
      <w:r w:rsidRPr="4A7AF503">
        <w:t>Interprovincial migration [1]</w:t>
      </w:r>
    </w:p>
    <w:p w14:paraId="4281E171" w14:textId="331F25BE" w:rsidR="268A6955" w:rsidRDefault="268A6955" w:rsidP="4A7AF503">
      <w:pPr>
        <w:pStyle w:val="ListParagraph"/>
        <w:numPr>
          <w:ilvl w:val="0"/>
          <w:numId w:val="1"/>
        </w:numPr>
      </w:pPr>
      <w:r w:rsidRPr="4A7AF503">
        <w:t>Population [2]</w:t>
      </w:r>
    </w:p>
    <w:p w14:paraId="25674E58" w14:textId="78C2B4A0" w:rsidR="268A6955" w:rsidRDefault="268A6955" w:rsidP="4A7AF503">
      <w:pPr>
        <w:pStyle w:val="ListParagraph"/>
        <w:numPr>
          <w:ilvl w:val="0"/>
          <w:numId w:val="1"/>
        </w:numPr>
      </w:pPr>
      <w:proofErr w:type="spellStart"/>
      <w:r w:rsidRPr="4A7AF503">
        <w:t>Labour</w:t>
      </w:r>
      <w:proofErr w:type="spellEnd"/>
      <w:r w:rsidRPr="4A7AF503">
        <w:t xml:space="preserve"> force characteristics (unemployment) [3]</w:t>
      </w:r>
    </w:p>
    <w:p w14:paraId="6DEBD4A5" w14:textId="37A8016D" w:rsidR="268A6955" w:rsidRDefault="268A6955" w:rsidP="4A7AF503">
      <w:pPr>
        <w:pStyle w:val="ListParagraph"/>
        <w:numPr>
          <w:ilvl w:val="0"/>
          <w:numId w:val="1"/>
        </w:numPr>
      </w:pPr>
      <w:r w:rsidRPr="4A7AF503">
        <w:t>Wages/Salaries [4]</w:t>
      </w:r>
    </w:p>
    <w:p w14:paraId="74FA40F2" w14:textId="422AA591" w:rsidR="268A6955" w:rsidRDefault="268A6955" w:rsidP="4A7AF503">
      <w:pPr>
        <w:pStyle w:val="ListParagraph"/>
        <w:numPr>
          <w:ilvl w:val="0"/>
          <w:numId w:val="1"/>
        </w:numPr>
      </w:pPr>
      <w:r w:rsidRPr="4A7AF503">
        <w:t>Consumer price index [5]</w:t>
      </w:r>
    </w:p>
    <w:p w14:paraId="5635A6B2" w14:textId="6F95FC91" w:rsidR="268A6955" w:rsidRDefault="268A6955" w:rsidP="4A7AF503">
      <w:pPr>
        <w:pStyle w:val="ListParagraph"/>
        <w:numPr>
          <w:ilvl w:val="0"/>
          <w:numId w:val="1"/>
        </w:numPr>
      </w:pPr>
      <w:r w:rsidRPr="4A7AF503">
        <w:t>Housing index [6]</w:t>
      </w:r>
    </w:p>
    <w:p w14:paraId="74B458D5" w14:textId="148336E4" w:rsidR="268A6955" w:rsidRDefault="268A6955" w:rsidP="4A7AF503">
      <w:r w:rsidRPr="4A7AF503">
        <w:t>Net migration</w:t>
      </w:r>
      <w:r w:rsidR="00EA1440">
        <w:t xml:space="preserve"> Eq. (1) </w:t>
      </w:r>
      <w:r w:rsidRPr="4A7AF503">
        <w:t>calculated to clearly determine if the migration trend was in or out of a given province, using the following equation:</w:t>
      </w:r>
    </w:p>
    <w:p w14:paraId="66AE2D4B" w14:textId="2D2473B5" w:rsidR="00CC4700" w:rsidRDefault="00CC4700" w:rsidP="00CC4700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Net migration calculation</w:t>
      </w:r>
    </w:p>
    <w:p w14:paraId="50AB3509" w14:textId="53CB03F3" w:rsidR="4A7AF503" w:rsidRDefault="4A7AF503" w:rsidP="4A7AF503">
      <m:oMathPara>
        <m:oMath>
          <m:r>
            <w:rPr>
              <w:rFonts w:ascii="Cambria Math" w:hAnsi="Cambria Math"/>
            </w:rPr>
            <m:t>Net migration = 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Out-migration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In-migration</m:t>
              </m:r>
            </m:e>
          </m:d>
        </m:oMath>
      </m:oMathPara>
    </w:p>
    <w:p w14:paraId="42B97F67" w14:textId="322B3AE8" w:rsidR="795D82BA" w:rsidRDefault="795D82BA" w:rsidP="4A7AF503">
      <w:r w:rsidRPr="4A7AF503">
        <w:t>This could then be plotted against and statistically compared to the other relevant datasets. Correlation coefficients could be calculated to statistically prove what likely affected interprovincial migration the most.</w:t>
      </w:r>
    </w:p>
    <w:p w14:paraId="6883442C" w14:textId="7ACB3461" w:rsidR="4A7AF503" w:rsidRDefault="4A7AF503" w:rsidP="4A7AF503"/>
    <w:p w14:paraId="4308C59F" w14:textId="208DD9F2" w:rsidR="7DCB8E97" w:rsidRDefault="7DCB8E97" w:rsidP="004D0D6C">
      <w:pPr>
        <w:pStyle w:val="Heading1"/>
      </w:pPr>
      <w:r>
        <w:t>UI Input/Output</w:t>
      </w:r>
    </w:p>
    <w:p w14:paraId="457E264E" w14:textId="4454C1C9" w:rsidR="004D0D6C" w:rsidRPr="004D0D6C" w:rsidRDefault="004D0D6C" w:rsidP="004D0D6C">
      <w:r>
        <w:t xml:space="preserve">The program consists of a primary input/output portion to satisfy project requirements, as well as some secondary </w:t>
      </w:r>
      <w:r w:rsidR="005B2273">
        <w:t xml:space="preserve">outputs to demonstrate </w:t>
      </w:r>
      <w:r w:rsidR="00AF7248">
        <w:t>the group’s data manipulation</w:t>
      </w:r>
      <w:r w:rsidR="00EB18AE">
        <w:t>.</w:t>
      </w:r>
    </w:p>
    <w:p w14:paraId="2F14B3F3" w14:textId="777280EE" w:rsidR="004D0D6C" w:rsidRPr="004D0D6C" w:rsidRDefault="004D0D6C" w:rsidP="004D0D6C">
      <w:pPr>
        <w:pStyle w:val="Heading2"/>
      </w:pPr>
      <w:r>
        <w:lastRenderedPageBreak/>
        <w:t>Primary Input/Output</w:t>
      </w:r>
    </w:p>
    <w:p w14:paraId="073D6485" w14:textId="77777777" w:rsidR="00E91AC3" w:rsidRDefault="163D879F" w:rsidP="00E91AC3">
      <w:pPr>
        <w:keepNext/>
      </w:pPr>
      <w:r>
        <w:t xml:space="preserve">The user is asked to input up to 4 provinces via integer input (i.e. 1, 2, 3, 4). Then, they are asked to input that number of provinces by their short form (e.g. AB for Alberta, QC for Quebec). </w:t>
      </w:r>
      <w:r w:rsidR="00E91AC3">
        <w:t>Additionally, the user inputs what dataset they want to compare the chosen provinces against, as seen in Fig. X below:</w:t>
      </w:r>
      <w:r w:rsidR="001502DD">
        <w:rPr>
          <w:noProof/>
        </w:rPr>
        <w:drawing>
          <wp:inline distT="0" distB="0" distL="0" distR="0" wp14:anchorId="493C8271" wp14:editId="4177944C">
            <wp:extent cx="5943600" cy="3455670"/>
            <wp:effectExtent l="0" t="0" r="0" b="0"/>
            <wp:docPr id="190741133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1330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137" w14:textId="6308B494" w:rsidR="00E91AC3" w:rsidRDefault="00E91AC3" w:rsidP="00E91A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Primary input/output console interface</w:t>
      </w:r>
    </w:p>
    <w:p w14:paraId="63F9D109" w14:textId="77777777" w:rsidR="00E91AC3" w:rsidRDefault="00E91AC3" w:rsidP="4A7AF503"/>
    <w:p w14:paraId="713856F3" w14:textId="396B49C5" w:rsidR="163D879F" w:rsidRDefault="000D5017" w:rsidP="4A7AF503">
      <w:r>
        <w:rPr>
          <w:noProof/>
        </w:rPr>
        <w:lastRenderedPageBreak/>
        <w:drawing>
          <wp:inline distT="0" distB="0" distL="0" distR="0" wp14:anchorId="6431173B" wp14:editId="74F644AC">
            <wp:extent cx="5943600" cy="3216275"/>
            <wp:effectExtent l="0" t="0" r="0" b="0"/>
            <wp:docPr id="907770286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0286" name="Picture 1" descr="A graph of a number of data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7F3F" w14:textId="4C51DD39" w:rsidR="2CF1C6F4" w:rsidRDefault="2CF1C6F4" w:rsidP="004D0D6C">
      <w:pPr>
        <w:pStyle w:val="Heading2"/>
      </w:pPr>
      <w:r>
        <w:t>Other Outputs</w:t>
      </w:r>
    </w:p>
    <w:p w14:paraId="486BBC36" w14:textId="3912F750" w:rsidR="2CF1C6F4" w:rsidRDefault="2CF1C6F4" w:rsidP="4A7AF503">
      <w:r>
        <w:t>The program additionally generates more outputs dependent on the user pressing ‘any key to continue’. This is less interactive but acts as a more demonstrative p</w:t>
      </w:r>
      <w:r w:rsidR="24127AFF">
        <w:t xml:space="preserve">rocess in the analysis. Initially when the program is </w:t>
      </w:r>
      <w:proofErr w:type="gramStart"/>
      <w:r w:rsidR="24127AFF">
        <w:t>ran</w:t>
      </w:r>
      <w:proofErr w:type="gramEnd"/>
      <w:r w:rsidR="24127AFF">
        <w:t xml:space="preserve">, it asks the user to input any key to continue. Then it displays the created </w:t>
      </w:r>
      <w:r w:rsidR="222A5141">
        <w:t xml:space="preserve">Pandas </w:t>
      </w:r>
      <w:proofErr w:type="spellStart"/>
      <w:r w:rsidR="222A5141">
        <w:t>D</w:t>
      </w:r>
      <w:r w:rsidR="24127AFF">
        <w:t>ataframe</w:t>
      </w:r>
      <w:proofErr w:type="spellEnd"/>
      <w:r w:rsidR="00EA1440">
        <w:t xml:space="preserve"> Fig. (1)</w:t>
      </w:r>
      <w:r w:rsidR="24127AFF">
        <w:t>, as seen below:</w:t>
      </w:r>
    </w:p>
    <w:p w14:paraId="560E12D4" w14:textId="77777777" w:rsidR="00EA1440" w:rsidRDefault="24127AFF" w:rsidP="00EA1440">
      <w:pPr>
        <w:keepNext/>
      </w:pPr>
      <w:r>
        <w:rPr>
          <w:noProof/>
        </w:rPr>
        <w:lastRenderedPageBreak/>
        <w:drawing>
          <wp:inline distT="0" distB="0" distL="0" distR="0" wp14:anchorId="32B8FD23" wp14:editId="6A77BD72">
            <wp:extent cx="5943600" cy="3990975"/>
            <wp:effectExtent l="0" t="0" r="0" b="0"/>
            <wp:docPr id="1909018566" name="Picture 1909018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CD1" w14:textId="6180B0ED" w:rsidR="24127AFF" w:rsidRDefault="00EA1440" w:rsidP="00EA14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91AC3">
        <w:rPr>
          <w:noProof/>
        </w:rPr>
        <w:t>2</w:t>
      </w:r>
      <w:r>
        <w:fldChar w:fldCharType="end"/>
      </w:r>
      <w:r>
        <w:t xml:space="preserve">: Pandas </w:t>
      </w:r>
      <w:proofErr w:type="spellStart"/>
      <w:r>
        <w:t>Dataframe</w:t>
      </w:r>
      <w:proofErr w:type="spellEnd"/>
      <w:r>
        <w:t xml:space="preserve"> printout</w:t>
      </w:r>
    </w:p>
    <w:p w14:paraId="345F73BC" w14:textId="76FF873B" w:rsidR="4A7AF503" w:rsidRDefault="4A7AF503" w:rsidP="4A7AF503"/>
    <w:p w14:paraId="53362C15" w14:textId="099343D9" w:rsidR="4A7AF503" w:rsidRDefault="4A7AF503" w:rsidP="4A7AF503"/>
    <w:p w14:paraId="0368691E" w14:textId="14F21600" w:rsidR="4A7AF503" w:rsidRDefault="00DC5307" w:rsidP="00DC5307">
      <w:pPr>
        <w:pStyle w:val="Heading1"/>
      </w:pPr>
      <w:r>
        <w:t>Conclusion</w:t>
      </w:r>
    </w:p>
    <w:p w14:paraId="69F26C38" w14:textId="64368649" w:rsidR="00DC5307" w:rsidRDefault="00DC5307" w:rsidP="00DC5307">
      <w:r>
        <w:t>In conclusion, it seems that the thesis laid out in the linked article was proven correct. There is a strong negative correlation between housing index and net migration in British Columbia and Ontario, the two provinces with the most expensive housing.</w:t>
      </w:r>
    </w:p>
    <w:p w14:paraId="64B1B081" w14:textId="77777777" w:rsidR="00DC5307" w:rsidRDefault="00DC5307" w:rsidP="00DC5307"/>
    <w:p w14:paraId="4FF3B974" w14:textId="7FB0C3F4" w:rsidR="00DC5307" w:rsidRDefault="00DC5307" w:rsidP="00DC5307">
      <w:pPr>
        <w:pStyle w:val="Heading1"/>
      </w:pPr>
      <w:r>
        <w:t>Discussion</w:t>
      </w:r>
    </w:p>
    <w:p w14:paraId="12F321D0" w14:textId="5246D88C" w:rsidR="00DC5307" w:rsidRPr="00DC5307" w:rsidRDefault="00DC5307" w:rsidP="00DC5307">
      <w:r>
        <w:t xml:space="preserve">To </w:t>
      </w:r>
      <w:r w:rsidR="003511B7">
        <w:t>further extend this analysis</w:t>
      </w:r>
      <w:r w:rsidR="005222DA">
        <w:t xml:space="preserve">, </w:t>
      </w:r>
      <w:proofErr w:type="spellStart"/>
      <w:r w:rsidR="00E000EC">
        <w:t>intraprovincial</w:t>
      </w:r>
      <w:proofErr w:type="spellEnd"/>
      <w:r w:rsidR="00E000EC">
        <w:t xml:space="preserve"> migration</w:t>
      </w:r>
      <w:r w:rsidR="003511B7">
        <w:t xml:space="preserve"> should</w:t>
      </w:r>
      <w:r w:rsidR="005D1387">
        <w:t xml:space="preserve"> be</w:t>
      </w:r>
      <w:r w:rsidR="006642FB">
        <w:t xml:space="preserve"> </w:t>
      </w:r>
      <w:r w:rsidR="005222DA">
        <w:t>an i</w:t>
      </w:r>
      <w:r w:rsidR="006642FB">
        <w:t xml:space="preserve">ncorporated dataset. </w:t>
      </w:r>
      <w:r w:rsidR="00E000EC">
        <w:t>Although analyzing migration between provinces</w:t>
      </w:r>
      <w:r w:rsidR="005222DA">
        <w:t xml:space="preserve"> has been demonstrative, </w:t>
      </w:r>
      <w:proofErr w:type="spellStart"/>
      <w:r w:rsidR="00E000EC">
        <w:t>it</w:t>
      </w:r>
      <w:proofErr w:type="spellEnd"/>
      <w:r w:rsidR="003979A5">
        <w:t xml:space="preserve"> may</w:t>
      </w:r>
      <w:r w:rsidR="00E000EC">
        <w:t xml:space="preserve"> be more </w:t>
      </w:r>
      <w:r w:rsidR="003979A5">
        <w:t>astute</w:t>
      </w:r>
      <w:r w:rsidR="00E000EC">
        <w:t xml:space="preserve"> to prove that people are moving out of metropolitan areas. </w:t>
      </w:r>
    </w:p>
    <w:p w14:paraId="41644C9E" w14:textId="245F8B64" w:rsidR="4A7AF503" w:rsidRDefault="4A7AF503" w:rsidP="4A7AF503"/>
    <w:p w14:paraId="080DD8C0" w14:textId="52594A9A" w:rsidR="4A7AF503" w:rsidRDefault="4A7AF503" w:rsidP="4A7AF503"/>
    <w:p w14:paraId="3CA66A11" w14:textId="7E4ABEF4" w:rsidR="4A7AF503" w:rsidRDefault="4A7AF503" w:rsidP="4A7AF503"/>
    <w:p w14:paraId="2023B3BC" w14:textId="43AE42C5" w:rsidR="4A7AF503" w:rsidRDefault="4A7AF503" w:rsidP="4A7AF503"/>
    <w:p w14:paraId="767E29AC" w14:textId="73329625" w:rsidR="4A7AF503" w:rsidRDefault="4A7AF503" w:rsidP="4A7AF503"/>
    <w:p w14:paraId="69317362" w14:textId="6CE0F249" w:rsidR="4A7AF503" w:rsidRDefault="4A7AF503" w:rsidP="4A7AF503"/>
    <w:p w14:paraId="51C3AD14" w14:textId="15843A6E" w:rsidR="4A7AF503" w:rsidRDefault="4A7AF503" w:rsidP="4A7AF503"/>
    <w:p w14:paraId="00457473" w14:textId="30A6F076" w:rsidR="4A7AF503" w:rsidRDefault="4A7AF503" w:rsidP="4A7AF503"/>
    <w:p w14:paraId="1E0B56B4" w14:textId="784D3F9E" w:rsidR="4A7AF503" w:rsidRDefault="4A7AF503" w:rsidP="4A7AF503"/>
    <w:p w14:paraId="150C07D1" w14:textId="6F17030D" w:rsidR="7DCB8E97" w:rsidRDefault="7DCB8E97" w:rsidP="4A7AF503">
      <w:r>
        <w:t>References</w:t>
      </w:r>
    </w:p>
    <w:p w14:paraId="063D7434" w14:textId="374F03ED" w:rsidR="4EC4D9BF" w:rsidRDefault="4EC4D9BF" w:rsidP="4A7AF503">
      <w:r>
        <w:t>[1] Statistics Canada, “Table 17‑10‑0020‑01 – Estimates of the components of interprovincial migration, quarterly,” released Jun. 18, 2025. DOI: https://doi.org/10.25318/1710002001‑</w:t>
      </w:r>
      <w:proofErr w:type="gramStart"/>
      <w:r>
        <w:t>eng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1]{</w:t>
      </w:r>
      <w:proofErr w:type="gramEnd"/>
      <w:r>
        <w:t>index=1}</w:t>
      </w:r>
    </w:p>
    <w:p w14:paraId="1AA50458" w14:textId="1DC42AF3" w:rsidR="4EC4D9BF" w:rsidRDefault="4EC4D9BF" w:rsidP="4A7AF503">
      <w:r>
        <w:t xml:space="preserve"> </w:t>
      </w:r>
    </w:p>
    <w:p w14:paraId="0337C68B" w14:textId="643CB68E" w:rsidR="4EC4D9BF" w:rsidRDefault="4EC4D9BF" w:rsidP="4A7AF503">
      <w:r>
        <w:t>[2] Statistics Canada, “Table 17‑10‑0009‑01 – Population estimates, quarterly,” released Jun. 18, 2025. DOI: https://doi.org/10.25318/1710000901‑</w:t>
      </w:r>
      <w:proofErr w:type="gramStart"/>
      <w:r>
        <w:t>eng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2]{</w:t>
      </w:r>
      <w:proofErr w:type="gramEnd"/>
      <w:r>
        <w:t>index=2}</w:t>
      </w:r>
    </w:p>
    <w:p w14:paraId="55BC39BF" w14:textId="7AAE7193" w:rsidR="4EC4D9BF" w:rsidRDefault="4EC4D9BF" w:rsidP="4A7AF503">
      <w:r>
        <w:t xml:space="preserve"> </w:t>
      </w:r>
    </w:p>
    <w:p w14:paraId="0ECAA8AE" w14:textId="24382586" w:rsidR="4EC4D9BF" w:rsidRDefault="4EC4D9BF" w:rsidP="4A7AF503">
      <w:r>
        <w:t>[3] Statistics Canada, “Table 14‑10‑0287‑03 – </w:t>
      </w:r>
      <w:proofErr w:type="spellStart"/>
      <w:r>
        <w:t>Labour</w:t>
      </w:r>
      <w:proofErr w:type="spellEnd"/>
      <w:r>
        <w:t xml:space="preserve"> force characteristics by province, monthly, seasonally adjusted,” released Jun. 20, 2025. DOI: https://doi.org/10.25318/1410028701‑</w:t>
      </w:r>
      <w:proofErr w:type="gramStart"/>
      <w:r>
        <w:t>eng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3]{</w:t>
      </w:r>
      <w:proofErr w:type="gramEnd"/>
      <w:r>
        <w:t>index=3}</w:t>
      </w:r>
    </w:p>
    <w:p w14:paraId="35166AA5" w14:textId="54593464" w:rsidR="4EC4D9BF" w:rsidRDefault="4EC4D9BF" w:rsidP="4A7AF503">
      <w:r>
        <w:t xml:space="preserve"> </w:t>
      </w:r>
    </w:p>
    <w:p w14:paraId="327C2DDB" w14:textId="73A5FB60" w:rsidR="4EC4D9BF" w:rsidRDefault="4EC4D9BF" w:rsidP="4A7AF503">
      <w:r>
        <w:t>[4] Statistics Canada, “Table 36‑10‑0205‑01 – Wages, salaries and employers’ social contributions (x 1,000), monthly,” released May 30, 2025. DOI: https://doi.org/10.25318/3610020501‑</w:t>
      </w:r>
      <w:proofErr w:type="gramStart"/>
      <w:r>
        <w:t>eng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4]{</w:t>
      </w:r>
      <w:proofErr w:type="gramEnd"/>
      <w:r>
        <w:t>index=4}</w:t>
      </w:r>
    </w:p>
    <w:p w14:paraId="3B255865" w14:textId="6C9ABED7" w:rsidR="4EC4D9BF" w:rsidRDefault="4EC4D9BF" w:rsidP="4A7AF503">
      <w:r>
        <w:t xml:space="preserve"> </w:t>
      </w:r>
    </w:p>
    <w:p w14:paraId="69ADDAE9" w14:textId="63270CF7" w:rsidR="4EC4D9BF" w:rsidRDefault="4EC4D9BF" w:rsidP="4A7AF503">
      <w:r>
        <w:t>[5] Statistics Canada, “Table 18‑10‑0004‑01 – Consumer Price Index, monthly, not seasonally adjusted,” published May 2025. DOI: https://doi.org/10.25318/1810000401‑</w:t>
      </w:r>
      <w:proofErr w:type="gramStart"/>
      <w:r>
        <w:t>eng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5]{</w:t>
      </w:r>
      <w:proofErr w:type="gramEnd"/>
      <w:r>
        <w:t>index=5}</w:t>
      </w:r>
    </w:p>
    <w:p w14:paraId="741D5889" w14:textId="43188A9C" w:rsidR="4EC4D9BF" w:rsidRDefault="4EC4D9BF" w:rsidP="4A7AF503">
      <w:r>
        <w:t xml:space="preserve"> </w:t>
      </w:r>
    </w:p>
    <w:p w14:paraId="3E1DFAA8" w14:textId="17C60621" w:rsidR="4EC4D9BF" w:rsidRDefault="4EC4D9BF" w:rsidP="4A7AF503">
      <w:r>
        <w:lastRenderedPageBreak/>
        <w:t>[6] Statistics Canada, “Table 18‑10‑0205‑01 – New housing price index, monthly,” released Jun. 20, 2025. DOI: https://doi.org/10.25318/1810020501‑</w:t>
      </w:r>
      <w:proofErr w:type="gramStart"/>
      <w:r>
        <w:t>eng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6]{</w:t>
      </w:r>
      <w:proofErr w:type="gramEnd"/>
      <w:r>
        <w:t>index=6}</w:t>
      </w:r>
    </w:p>
    <w:p w14:paraId="7F8CF719" w14:textId="2806AE81" w:rsidR="4A7AF503" w:rsidRDefault="4A7AF503" w:rsidP="4A7AF503"/>
    <w:p w14:paraId="699DA4FF" w14:textId="1FF3A388" w:rsidR="4A7AF503" w:rsidRDefault="4A7AF503" w:rsidP="4A7AF503"/>
    <w:sectPr w:rsidR="4A7AF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8F58B"/>
    <w:multiLevelType w:val="hybridMultilevel"/>
    <w:tmpl w:val="C6E03CF0"/>
    <w:lvl w:ilvl="0" w:tplc="4F74A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24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C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C1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CA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4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CD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CE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8B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1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4B0A1"/>
    <w:rsid w:val="000D5017"/>
    <w:rsid w:val="00146E1E"/>
    <w:rsid w:val="001502DD"/>
    <w:rsid w:val="003511B7"/>
    <w:rsid w:val="003979A5"/>
    <w:rsid w:val="00481A62"/>
    <w:rsid w:val="004D0D6C"/>
    <w:rsid w:val="004E5933"/>
    <w:rsid w:val="005222DA"/>
    <w:rsid w:val="005B2273"/>
    <w:rsid w:val="005D1387"/>
    <w:rsid w:val="006642FB"/>
    <w:rsid w:val="0073207C"/>
    <w:rsid w:val="007761AF"/>
    <w:rsid w:val="007C5395"/>
    <w:rsid w:val="008103BE"/>
    <w:rsid w:val="00892D00"/>
    <w:rsid w:val="008B394E"/>
    <w:rsid w:val="008C6814"/>
    <w:rsid w:val="00A942C4"/>
    <w:rsid w:val="00AA436E"/>
    <w:rsid w:val="00AF57CC"/>
    <w:rsid w:val="00AF7248"/>
    <w:rsid w:val="00C70D03"/>
    <w:rsid w:val="00CC4700"/>
    <w:rsid w:val="00D30716"/>
    <w:rsid w:val="00DC38D6"/>
    <w:rsid w:val="00DC5307"/>
    <w:rsid w:val="00DC76F5"/>
    <w:rsid w:val="00E000EC"/>
    <w:rsid w:val="00E7659C"/>
    <w:rsid w:val="00E91AC3"/>
    <w:rsid w:val="00EA1440"/>
    <w:rsid w:val="00EB18AE"/>
    <w:rsid w:val="00F670A0"/>
    <w:rsid w:val="00F8107B"/>
    <w:rsid w:val="00FB1CDA"/>
    <w:rsid w:val="00FF15EC"/>
    <w:rsid w:val="02FF3C97"/>
    <w:rsid w:val="033F6907"/>
    <w:rsid w:val="09B1E172"/>
    <w:rsid w:val="0D07D81D"/>
    <w:rsid w:val="0E0CB548"/>
    <w:rsid w:val="163D879F"/>
    <w:rsid w:val="19C5B705"/>
    <w:rsid w:val="209A6333"/>
    <w:rsid w:val="222A5141"/>
    <w:rsid w:val="24127AFF"/>
    <w:rsid w:val="268A6955"/>
    <w:rsid w:val="27E6ED95"/>
    <w:rsid w:val="2CF1C6F4"/>
    <w:rsid w:val="332C3A98"/>
    <w:rsid w:val="33EB01E6"/>
    <w:rsid w:val="3415D994"/>
    <w:rsid w:val="3A24C4D5"/>
    <w:rsid w:val="3EAB16B5"/>
    <w:rsid w:val="3F3731C8"/>
    <w:rsid w:val="42391FF4"/>
    <w:rsid w:val="45C5B7FC"/>
    <w:rsid w:val="47041DB4"/>
    <w:rsid w:val="48A6FA33"/>
    <w:rsid w:val="4A7AF503"/>
    <w:rsid w:val="4EC4D9BF"/>
    <w:rsid w:val="4F0458EE"/>
    <w:rsid w:val="4F79C75B"/>
    <w:rsid w:val="50F735DC"/>
    <w:rsid w:val="51FC8E97"/>
    <w:rsid w:val="550DBA3A"/>
    <w:rsid w:val="60299AD2"/>
    <w:rsid w:val="620700F9"/>
    <w:rsid w:val="65FEC302"/>
    <w:rsid w:val="667FABD6"/>
    <w:rsid w:val="68E70E0E"/>
    <w:rsid w:val="6B994FF7"/>
    <w:rsid w:val="6F64B0A1"/>
    <w:rsid w:val="747DD7C6"/>
    <w:rsid w:val="74AB06D4"/>
    <w:rsid w:val="7650D8D3"/>
    <w:rsid w:val="795D82BA"/>
    <w:rsid w:val="7BB8B3F0"/>
    <w:rsid w:val="7D4D6EE2"/>
    <w:rsid w:val="7DCB8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B0A1"/>
  <w15:chartTrackingRefBased/>
  <w15:docId w15:val="{EF71D6D9-FA1E-4CA9-975A-AA76C9A5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A7AF50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A7AF5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470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51075-3160-D040-A8DA-411D51FB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2</cp:revision>
  <dcterms:created xsi:type="dcterms:W3CDTF">2025-06-21T00:54:00Z</dcterms:created>
  <dcterms:modified xsi:type="dcterms:W3CDTF">2025-06-21T00:54:00Z</dcterms:modified>
</cp:coreProperties>
</file>