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微软雅黑"/>
          <w:sz w:val="36"/>
        </w:rPr>
        <w:t>今日快讯（2026-5-20）：</w:t>
      </w:r>
    </w:p>
    <w:p/>
    <w:p>
      <w:r>
        <w:rPr>
          <w:rFonts w:ascii="Microsoft YaHei" w:hAnsi="Microsoft YaHei" w:eastAsia="微软雅黑"/>
          <w:sz w:val="32"/>
        </w:rPr>
        <w:t>1、Infleqtion报告2026年第一季度营收创纪录，客户需求加速增长</w:t>
      </w:r>
    </w:p>
    <w:p>
      <w:pPr>
        <w:ind w:firstLine="420"/>
        <w:jc w:val="left"/>
      </w:pPr>
      <w:r>
        <w:rPr>
          <w:rFonts w:ascii="Microsoft YaHei" w:hAnsi="Microsoft YaHei" w:eastAsia="微软雅黑"/>
          <w:sz w:val="28"/>
        </w:rPr>
        <w:t>5月14日消息，全球中性原子量子计算与量子传感技术领导者Infleqtion（以下简称“该公司”）公布，2026年第一季度营收为950万美元，同比增长14%。第一季度业绩反映了公司在量子计算、量子传感及软件产品组合方面的持续执行，并受到国家安全、太空及量子-人工智能混合应用领域客户活动增加的支撑。</w:t>
      </w:r>
    </w:p>
    <w:p>
      <w:pPr>
        <w:ind w:firstLine="420"/>
        <w:jc w:val="left"/>
      </w:pPr>
      <w:r>
        <w:rPr>
          <w:rFonts w:ascii="Microsoft YaHei" w:hAnsi="Microsoft YaHei" w:eastAsia="微软雅黑"/>
          <w:sz w:val="28"/>
        </w:rPr>
        <w:t>2026年第一季度财务亮点</w:t>
      </w:r>
    </w:p>
    <w:p>
      <w:pPr>
        <w:ind w:firstLine="420"/>
        <w:jc w:val="left"/>
      </w:pPr>
      <w:r>
        <w:rPr>
          <w:rFonts w:ascii="Microsoft YaHei" w:hAnsi="Microsoft YaHei" w:eastAsia="微软雅黑"/>
          <w:sz w:val="28"/>
        </w:rPr>
        <w:t>第一季度营收创纪录达950万美元，同比增长14%；全部为有机增长且100%来自量子业务</w:t>
      </w:r>
    </w:p>
    <w:p>
      <w:pPr>
        <w:ind w:firstLine="420"/>
        <w:jc w:val="left"/>
      </w:pPr>
      <w:r>
        <w:rPr>
          <w:rFonts w:ascii="Microsoft YaHei" w:hAnsi="Microsoft YaHei" w:eastAsia="微软雅黑"/>
          <w:sz w:val="28"/>
        </w:rPr>
        <w:t>GAAP运营亏损为3360万美元</w:t>
      </w:r>
    </w:p>
    <w:p>
      <w:pPr>
        <w:ind w:firstLine="420"/>
        <w:jc w:val="left"/>
      </w:pPr>
      <w:r>
        <w:rPr>
          <w:rFonts w:ascii="Microsoft YaHei" w:hAnsi="Microsoft YaHei" w:eastAsia="微软雅黑"/>
          <w:sz w:val="28"/>
        </w:rPr>
        <w:t>非GAAP运营亏损为1320万美元，该数字已剔除股权激励、收购与整合成本及上市交易费用</w:t>
      </w:r>
    </w:p>
    <w:p>
      <w:pPr>
        <w:ind w:firstLine="420"/>
        <w:jc w:val="left"/>
      </w:pPr>
      <w:r>
        <w:rPr>
          <w:rFonts w:ascii="Microsoft YaHei" w:hAnsi="Microsoft YaHei" w:eastAsia="微软雅黑"/>
          <w:sz w:val="28"/>
        </w:rPr>
        <w:t>运营活动所用现金净额为1920万美元，资本支出为30万美元</w:t>
      </w:r>
    </w:p>
    <w:p>
      <w:pPr>
        <w:ind w:firstLine="420"/>
        <w:jc w:val="left"/>
      </w:pPr>
      <w:r>
        <w:rPr>
          <w:rFonts w:ascii="Microsoft YaHei" w:hAnsi="Microsoft YaHei" w:eastAsia="微软雅黑"/>
          <w:sz w:val="28"/>
        </w:rPr>
        <w:t>截至2026年3月31日，现金、现金等价物及可供出售证券为5.69亿美元</w:t>
      </w:r>
    </w:p>
    <w:p>
      <w:pPr>
        <w:ind w:firstLine="420"/>
        <w:jc w:val="left"/>
      </w:pPr>
      <w:r>
        <w:rPr>
          <w:rFonts w:ascii="Microsoft YaHei" w:hAnsi="Microsoft YaHei" w:eastAsia="微软雅黑"/>
          <w:sz w:val="28"/>
        </w:rPr>
        <w:t>2026年最新指引</w:t>
      </w:r>
    </w:p>
    <w:p>
      <w:pPr>
        <w:ind w:firstLine="420"/>
        <w:jc w:val="left"/>
      </w:pPr>
      <w:r>
        <w:rPr>
          <w:rFonts w:ascii="Microsoft YaHei" w:hAnsi="Microsoft YaHei" w:eastAsia="微软雅黑"/>
          <w:sz w:val="28"/>
        </w:rPr>
        <w:t>将2026年营收指引上调至至少4000万美元，得益于公司量子产品组合客户活动增加</w:t>
      </w:r>
    </w:p>
    <w:p>
      <w:pPr>
        <w:ind w:firstLine="420"/>
        <w:jc w:val="left"/>
      </w:pPr>
      <w:r>
        <w:rPr>
          <w:rFonts w:ascii="Microsoft YaHei" w:hAnsi="Microsoft YaHei" w:eastAsia="微软雅黑"/>
          <w:sz w:val="28"/>
        </w:rPr>
        <w:t>近期里程碑与商业进展</w:t>
      </w:r>
    </w:p>
    <w:p>
      <w:pPr>
        <w:ind w:firstLine="420"/>
        <w:jc w:val="left"/>
      </w:pPr>
      <w:r>
        <w:rPr>
          <w:rFonts w:ascii="Microsoft YaHei" w:hAnsi="Microsoft YaHei" w:eastAsia="微软雅黑"/>
          <w:sz w:val="28"/>
        </w:rPr>
        <w:t>宣布Infleqtion作为NASA JPL量子重力梯度仪探路者任务的合作方，迄今已获得2000万美元合同支持</w:t>
      </w:r>
    </w:p>
    <w:p>
      <w:pPr>
        <w:ind w:firstLine="420"/>
        <w:jc w:val="left"/>
      </w:pPr>
      <w:r>
        <w:rPr>
          <w:rFonts w:ascii="Microsoft YaHei" w:hAnsi="Microsoft YaHei" w:eastAsia="微软雅黑"/>
          <w:sz w:val="28"/>
        </w:rPr>
        <w:t>为国际空间站上的NASA冷原子实验室交付了升级版量子硬件，这是基于Infleqtion自2018年起已在国际空间站运行的量子技术</w:t>
      </w:r>
    </w:p>
    <w:p>
      <w:pPr>
        <w:ind w:firstLine="420"/>
        <w:jc w:val="left"/>
      </w:pPr>
      <w:r>
        <w:rPr>
          <w:rFonts w:ascii="Microsoft YaHei" w:hAnsi="Microsoft YaHei" w:eastAsia="微软雅黑"/>
          <w:sz w:val="28"/>
        </w:rPr>
        <w:t>宣布与赛峰电子与防务公司达成首例量子精密授时解决方案合作，将Infleqtion的Tiqker量子光钟与赛峰的White Rabbit及SecureSync系统集成，为GNSS受限环境下的关键任务系统提供弹性授时</w:t>
      </w:r>
    </w:p>
    <w:p>
      <w:pPr>
        <w:ind w:firstLine="420"/>
        <w:jc w:val="left"/>
      </w:pPr>
      <w:r>
        <w:rPr>
          <w:rFonts w:ascii="Microsoft YaHei" w:hAnsi="Microsoft YaHei" w:eastAsia="微软雅黑"/>
          <w:sz w:val="28"/>
        </w:rPr>
        <w:t>宣布加速推进其基于原子的射频传感平台Quantum Spectrum，以应对日益增长的客户兴趣。Quantum Spectrum是传感业务第二大收入贡献者，多个新客户项目旨在解决对抗环境下可信信号与弹性通信的需求</w:t>
      </w:r>
    </w:p>
    <w:p>
      <w:pPr>
        <w:ind w:firstLine="420"/>
        <w:jc w:val="left"/>
      </w:pPr>
      <w:r>
        <w:rPr>
          <w:rFonts w:ascii="Microsoft YaHei" w:hAnsi="Microsoft YaHei" w:eastAsia="微软雅黑"/>
          <w:sz w:val="28"/>
        </w:rPr>
        <w:t>在国防、能源及研究客户中扩展了Infleqtion的量子软件项目，包括在美国国防高级研究计划局HARQ项目中取得里程碑式胜利。新的合作涵盖编译器开发、能源电网优化及计算化学</w:t>
      </w:r>
    </w:p>
    <w:p>
      <w:pPr>
        <w:ind w:firstLine="420"/>
        <w:jc w:val="left"/>
      </w:pPr>
      <w:r>
        <w:rPr>
          <w:rFonts w:ascii="Microsoft YaHei" w:hAnsi="Microsoft YaHei" w:eastAsia="微软雅黑"/>
          <w:sz w:val="28"/>
        </w:rPr>
        <w:t>与美国海军签约，推进Infleqtion的上下文机器学习软件用于射频信号处理，集成原型开发工作正在进行中</w:t>
      </w:r>
    </w:p>
    <w:p>
      <w:pPr>
        <w:ind w:firstLine="420"/>
        <w:jc w:val="left"/>
      </w:pPr>
      <w:r>
        <w:rPr>
          <w:rFonts w:ascii="Microsoft YaHei" w:hAnsi="Microsoft YaHei" w:eastAsia="微软雅黑"/>
          <w:sz w:val="28"/>
        </w:rPr>
        <w:t>入选美国能源部两个项目，以推进量子计算在化学、材料科学及能源电网优化领域的应用，目标市场代表数万亿美元的全球经济价值</w:t>
      </w:r>
    </w:p>
    <w:p>
      <w:pPr>
        <w:ind w:firstLine="420"/>
        <w:jc w:val="left"/>
      </w:pPr>
      <w:r>
        <w:rPr>
          <w:rFonts w:ascii="Microsoft YaHei" w:hAnsi="Microsoft YaHei" w:eastAsia="微软雅黑"/>
          <w:sz w:val="28"/>
        </w:rPr>
        <w:t>通过采用NVIDIA Ising AI模型，在公司的Sqale中性原子量子计算机上进行量子处理器校准和纠错解码，深化了Infleqtion与NVIDIA的合作</w:t>
      </w:r>
    </w:p>
    <w:p>
      <w:pPr>
        <w:ind w:firstLine="420"/>
        <w:jc w:val="left"/>
      </w:pPr>
      <w:r>
        <w:rPr>
          <w:rFonts w:ascii="Microsoft YaHei" w:hAnsi="Microsoft YaHei" w:eastAsia="微软雅黑"/>
          <w:sz w:val="28"/>
        </w:rPr>
        <w:t>在纽约证券交易所上市，股票代码为“INFQ”，成为首家上市的中性原子量子计算公司，标志着量子技术商业化的新篇章</w:t>
      </w:r>
    </w:p>
    <w:p>
      <w:pPr>
        <w:ind w:firstLine="420"/>
        <w:jc w:val="left"/>
      </w:pPr>
      <w:r>
        <w:rPr>
          <w:rFonts w:ascii="Microsoft YaHei" w:hAnsi="Microsoft YaHei" w:eastAsia="微软雅黑"/>
          <w:sz w:val="28"/>
        </w:rPr>
        <w:t>Infleqtion首席执行官Matt Kinsella表示：“第一季度增强了我们的信心，即随着市场转向可部署系统、实际应用和可衡量的客户价值，量子技术正在加速发展。在计算、传感和软件领域，我们看到客户活动不断扩大，尤其在国家安全、太空及量子-人工智能混合应用方面。这些趋势支持了我们更新的全年展望，并增强了我们对未来一年的信心。”</w:t>
      </w:r>
    </w:p>
    <w:p>
      <w:pPr>
        <w:ind w:firstLine="420"/>
        <w:jc w:val="left"/>
      </w:pPr>
      <w:r>
        <w:rPr>
          <w:rFonts w:ascii="Microsoft YaHei" w:hAnsi="Microsoft YaHei" w:eastAsia="微软雅黑"/>
          <w:sz w:val="28"/>
        </w:rPr>
        <w:t>Infleqtion首席财务官Ilan Hart表示：“第一季度营收为950万美元，同比增长14%，全部为有机增长且完全来自量子产品和软件。我们强劲的现金状况使现金状况使我们能够在市场势头来临之前灵活投资于研发和市场推广能力，同时保持严格的运营管控。”</w:t>
      </w:r>
    </w:p>
    <w:p>
      <w:r>
        <w:rPr>
          <w:rFonts w:ascii="Microsoft YaHei" w:hAnsi="Microsoft YaHei" w:eastAsia="微软雅黑"/>
          <w:sz w:val="21"/>
        </w:rPr>
        <w:t>链接：</w:t>
      </w:r>
    </w:p>
    <w:p>
      <w:r>
        <w:rPr>
          <w:rFonts w:ascii="Microsoft YaHei" w:hAnsi="Microsoft YaHei" w:eastAsia="微软雅黑"/>
          <w:sz w:val="21"/>
        </w:rPr>
        <w:t>https://infleqtion.com/infleqtion-reports-record-q1-revenue-as-customer-demand-accelerates/</w:t>
      </w:r>
    </w:p>
    <w:p/>
    <w:p>
      <w:r>
        <w:rPr>
          <w:rFonts w:ascii="Microsoft YaHei" w:hAnsi="Microsoft YaHei" w:eastAsia="微软雅黑"/>
          <w:sz w:val="32"/>
        </w:rPr>
        <w:t>2、Quantum eMotion与JMEM签署联盟协议，启动后量子安全芯片合作新阶段</w:t>
      </w:r>
    </w:p>
    <w:p>
      <w:pPr>
        <w:ind w:firstLine="420"/>
        <w:jc w:val="left"/>
      </w:pPr>
      <w:r>
        <w:rPr>
          <w:rFonts w:ascii="Microsoft YaHei" w:hAnsi="Microsoft YaHei" w:eastAsia="微软雅黑"/>
          <w:sz w:val="28"/>
        </w:rPr>
        <w:t>5月19日消息，Quantum eMotion与JMEM TEK日前宣布签署国际项目联盟协议，以推动双方战略合作进入新阶段。据悉，该协议基于双方于去年9月签署的谅解备忘录，并在加拿大—中国台湾2024–25年协同研发计划（CIIP）框架下推进联合研发合作。JMEM TEK为一家总部位于中国台湾的安全半导体企业，专注于物理不可克隆函数（PUF）、后量子密码学（PQC）及硬件信任根架构。在此次合作中，QeM公司将提供其安全芯片设计能力，参与联合研发项目推进。</w:t>
      </w:r>
    </w:p>
    <w:p>
      <w:r>
        <w:rPr>
          <w:rFonts w:ascii="Microsoft YaHei" w:hAnsi="Microsoft YaHei" w:eastAsia="微软雅黑"/>
          <w:sz w:val="21"/>
        </w:rPr>
        <w:t>链接：</w:t>
      </w:r>
    </w:p>
    <w:p>
      <w:r>
        <w:rPr>
          <w:rFonts w:ascii="Microsoft YaHei" w:hAnsi="Microsoft YaHei" w:eastAsia="微软雅黑"/>
          <w:sz w:val="21"/>
        </w:rPr>
        <w:t>https://www.quantumemotion.com/press-release/129/quantum-emotion-and-jmem-tek-sign-consortium-agreement-to-accelerate-quantum-resilient-semiconducto</w:t>
      </w:r>
    </w:p>
    <w:p/>
    <w:p>
      <w:r>
        <w:rPr>
          <w:rFonts w:ascii="Microsoft YaHei" w:hAnsi="Microsoft YaHei" w:eastAsia="微软雅黑"/>
          <w:sz w:val="32"/>
        </w:rPr>
        <w:t>3、沙特阿美与Pasqal合作启用沙特首台量子计算机 并推出中东首个QCaaS平台</w:t>
      </w:r>
    </w:p>
    <w:p>
      <w:pPr>
        <w:ind w:firstLine="420"/>
        <w:jc w:val="left"/>
      </w:pPr>
      <w:r>
        <w:rPr>
          <w:rFonts w:ascii="Microsoft YaHei" w:hAnsi="Microsoft YaHei" w:eastAsia="微软雅黑"/>
          <w:sz w:val="28"/>
        </w:rPr>
        <w:t>5月19日消息，沙特阿美（Aramco）与中性原子量子计算先驱企业Pasqal联手，昨日正式在沙特阿拉伯启用了首台量子计算机。同时，双方还在中东地区推出首个商业化量子计算即服务（QCaaS）平台，为该地区量子技术发展提供新动力，并推动能源、材料及工业等领域的量子应用加速落地。据悉，该量子计算机位于沙特阿美达兰数据中心，通过安全云平台为客户提供低延迟、即时访问的量子硬件，来帮助其应对复杂工业挑战。</w:t>
      </w:r>
    </w:p>
    <w:p>
      <w:r>
        <w:rPr>
          <w:rFonts w:ascii="Microsoft YaHei" w:hAnsi="Microsoft YaHei" w:eastAsia="微软雅黑"/>
          <w:sz w:val="21"/>
        </w:rPr>
        <w:t>链接：</w:t>
      </w:r>
    </w:p>
    <w:p>
      <w:r>
        <w:rPr>
          <w:rFonts w:ascii="Microsoft YaHei" w:hAnsi="Microsoft YaHei" w:eastAsia="微软雅黑"/>
          <w:sz w:val="21"/>
        </w:rPr>
        <w:t>https://www.pasqal.com/newsroom/aramco-and-pasqal-launch-saudi-arabias-first-quantum-computer-and-middle-easts-first-commercial-quantum-computing-as-a-service-platform/</w:t>
      </w:r>
    </w:p>
    <w:p/>
    <w:p/>
    <w:p>
      <w:r>
        <w:rPr>
          <w:rFonts w:ascii="Microsoft YaHei" w:hAnsi="Microsoft YaHei" w:eastAsia="微软雅黑"/>
          <w:sz w:val="32"/>
        </w:rPr>
        <w:t>4、专利：（请自行填写）</w:t>
      </w:r>
    </w:p>
    <w:p/>
    <w:p>
      <w:r>
        <w:rPr>
          <w:rFonts w:ascii="Microsoft YaHei" w:hAnsi="Microsoft YaHei" w:eastAsia="微软雅黑"/>
          <w:sz w:val="21"/>
        </w:rPr>
        <w:t>链接：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