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20"/>
        <w:jc w:val="both"/>
      </w:pPr>
      <w:r>
        <w:rPr>
          <w:rFonts w:ascii="Microsoft YaHei" w:hAnsi="Microsoft YaHei" w:eastAsia="微软雅黑"/>
          <w:sz w:val="28"/>
        </w:rPr>
        <w:t>沙特阿美（Aramco）与中性原子量子计算先驱企业Pasqal联手，昨日正式在沙特阿拉伯启用了首台量子计算机。同时，双方还在中东地区推出首个商业化量子计算即服务（QCaaS）平台，为该地区量子技术发展提供新动力，并推动能源、材料及工业等领域的量子应用加速落地。据悉，该量子计算机位于沙特阿美达兰数据中心，通过安全云平台为客户提供低延迟、即时访问的量子硬件，来帮助其应对复杂工业挑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