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QuEra 2028 年容错量子计算路线图可信度分析</w:t>
      </w:r>
    </w:p>
    <w:p>
      <w:pPr>
        <w:jc w:val="center"/>
      </w:pPr>
      <w:r>
        <w:rPr>
          <w:sz w:val="20"/>
        </w:rPr>
        <w:t>2026年6月26日</w:t>
        <w:br/>
      </w:r>
      <w:r>
        <w:rPr>
          <w:sz w:val="20"/>
        </w:rPr>
        <w:t>核心问题：QuEra 声称 2028 年实现 1000+ 逻辑量子比特、10⁻⁹ 保真度（99.9999999%），</w:t>
        <w:br/>
        <w:t>其底气从何而来？是否可信？</w:t>
      </w:r>
    </w:p>
    <w:p>
      <w:pPr>
        <w:pStyle w:val="Heading1"/>
      </w:pPr>
      <w:r>
        <w:t>一、核心结论</w:t>
      </w:r>
    </w:p>
    <w:p>
      <w:r>
        <w:t>QuEra 的 2028 年路线图并非凭空画饼，而是建立在"三根支柱"之上：</w:t>
      </w:r>
    </w:p>
    <w:p>
      <w:pPr>
        <w:pStyle w:val="ListBullet"/>
      </w:pPr>
      <w:r>
        <w:t>架构创新（Transversal STAR）：解决了传统容错量子计算的两个最大资源瓶颈——魔态蒸馏和晶格手术路由</w:t>
      </w:r>
    </w:p>
    <w:p>
      <w:pPr>
        <w:pStyle w:val="ListBullet"/>
      </w:pPr>
      <w:r>
        <w:t>中性原子平台天然优势：全连通、常温运行、单模块扩展至数千原子，工程路径更短</w:t>
      </w:r>
    </w:p>
    <w:p>
      <w:pPr>
        <w:pStyle w:val="ListBullet"/>
      </w:pPr>
      <w:r>
        <w:t>持续的论文验证：8 篇 Nature/PRL 论文逐层验证了从逻辑比特、横向门到超高率纠错的每一个技术环节</w:t>
      </w:r>
    </w:p>
    <w:p>
      <w:r>
        <w:t>评估：路线图激进但可信（7.5/10）。主要风险在于工程放大（从实验室 3,000 原子到商用 10,000+ 原子的良率）和 2 年交付周期对执行力的要求。</w:t>
      </w:r>
    </w:p>
    <w:p>
      <w:pPr>
        <w:pStyle w:val="Heading1"/>
      </w:pPr>
      <w:r>
        <w:t>二、技术底气拆解</w:t>
      </w:r>
    </w:p>
    <w:p>
      <w:pPr>
        <w:pStyle w:val="Heading2"/>
      </w:pPr>
      <w:r>
        <w:t>2.1 架构创新：Transversal STAR</w:t>
      </w:r>
    </w:p>
    <w:p>
      <w:r>
        <w:t>传统容错量子计算 ~90% 的资源消耗在魔态蒸馏上。QuEra 与 Los Alamos 合作发表的 Transversal STAR 架构（2026年5月 PRX Quantum）绕过了这一瓶颈：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传统 FTQC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Transversal STAR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优势</w:t>
            </w:r>
          </w:p>
        </w:tc>
      </w:tr>
      <w:tr>
        <w:tc>
          <w:tcPr>
            <w:tcW w:type="dxa" w:w="2160"/>
          </w:tcPr>
          <w:p>
            <w:r>
              <w:t>魔态制备</w:t>
            </w:r>
          </w:p>
        </w:tc>
        <w:tc>
          <w:tcPr>
            <w:tcW w:type="dxa" w:w="2160"/>
          </w:tcPr>
          <w:p>
            <w:r>
              <w:t>蒸馏工厂占 ~90% 物理比特</w:t>
            </w:r>
          </w:p>
        </w:tc>
        <w:tc>
          <w:tcPr>
            <w:tcW w:type="dxa" w:w="2160"/>
          </w:tcPr>
          <w:p>
            <w:r>
              <w:t>横向注入 + post-selection</w:t>
            </w:r>
          </w:p>
        </w:tc>
        <w:tc>
          <w:tcPr>
            <w:tcW w:type="dxa" w:w="2160"/>
          </w:tcPr>
          <w:p>
            <w:r>
              <w:t>物理比特需求减半</w:t>
            </w:r>
          </w:p>
        </w:tc>
      </w:tr>
      <w:tr>
        <w:tc>
          <w:tcPr>
            <w:tcW w:type="dxa" w:w="2160"/>
          </w:tcPr>
          <w:p>
            <w:r>
              <w:t>Clifford 门</w:t>
            </w:r>
          </w:p>
        </w:tc>
        <w:tc>
          <w:tcPr>
            <w:tcW w:type="dxa" w:w="2160"/>
          </w:tcPr>
          <w:p>
            <w:r>
              <w:t>晶格手术 ~d 轮校验子</w:t>
            </w:r>
          </w:p>
        </w:tc>
        <w:tc>
          <w:tcPr>
            <w:tcW w:type="dxa" w:w="2160"/>
          </w:tcPr>
          <w:p>
            <w:r>
              <w:t>原子 shuttling ~1 轮</w:t>
            </w:r>
          </w:p>
        </w:tc>
        <w:tc>
          <w:tcPr>
            <w:tcW w:type="dxa" w:w="2160"/>
          </w:tcPr>
          <w:p>
            <w:r>
              <w:t>速度快 ~250 倍</w:t>
            </w:r>
          </w:p>
        </w:tc>
      </w:tr>
      <w:tr>
        <w:tc>
          <w:tcPr>
            <w:tcW w:type="dxa" w:w="2160"/>
          </w:tcPr>
          <w:p>
            <w:r>
              <w:t>编码效率</w:t>
            </w:r>
          </w:p>
        </w:tc>
        <w:tc>
          <w:tcPr>
            <w:tcW w:type="dxa" w:w="2160"/>
          </w:tcPr>
          <w:p>
            <w:r>
              <w:t>surface code ~1:81</w:t>
            </w:r>
          </w:p>
        </w:tc>
        <w:tc>
          <w:tcPr>
            <w:tcW w:type="dxa" w:w="2160"/>
          </w:tcPr>
          <w:p>
            <w:r>
              <w:t>qLDPC 可达 1:2</w:t>
            </w:r>
          </w:p>
        </w:tc>
        <w:tc>
          <w:tcPr>
            <w:tcW w:type="dxa" w:w="2160"/>
          </w:tcPr>
          <w:p>
            <w:r>
              <w:t>物理比特需求再降 5 倍</w:t>
            </w:r>
          </w:p>
        </w:tc>
      </w:tr>
    </w:tbl>
    <w:p>
      <w:r>
        <w:t>关键数字：使用 qLDPC 编码后，仅需 1,500-3,000 物理比特即可达到 megaquop 级别（100万次可靠逻辑操作）。常规架构需要 10万+ 物理比特。</w:t>
      </w:r>
    </w:p>
    <w:p>
      <w:pPr>
        <w:pStyle w:val="Heading2"/>
      </w:pPr>
      <w:r>
        <w:t>2.2 中性原子平台 vs 竞品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中性原子 (QuEra)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超导 (IBM/Google)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离子阱 (Quantinuum)</w:t>
            </w:r>
          </w:p>
        </w:tc>
      </w:tr>
      <w:tr>
        <w:tc>
          <w:tcPr>
            <w:tcW w:type="dxa" w:w="2160"/>
          </w:tcPr>
          <w:p>
            <w:r>
              <w:t>运行温度</w:t>
            </w:r>
          </w:p>
        </w:tc>
        <w:tc>
          <w:tcPr>
            <w:tcW w:type="dxa" w:w="2160"/>
          </w:tcPr>
          <w:p>
            <w:r>
              <w:t>常温（真空腔）</w:t>
            </w:r>
          </w:p>
        </w:tc>
        <w:tc>
          <w:tcPr>
            <w:tcW w:type="dxa" w:w="2160"/>
          </w:tcPr>
          <w:p>
            <w:r>
              <w:t>~10 mK（稀释制冷机）</w:t>
            </w:r>
          </w:p>
        </w:tc>
        <w:tc>
          <w:tcPr>
            <w:tcW w:type="dxa" w:w="2160"/>
          </w:tcPr>
          <w:p>
            <w:r>
              <w:t>常温</w:t>
            </w:r>
          </w:p>
        </w:tc>
      </w:tr>
      <w:tr>
        <w:tc>
          <w:tcPr>
            <w:tcW w:type="dxa" w:w="2160"/>
          </w:tcPr>
          <w:p>
            <w:r>
              <w:t>量子比特连接</w:t>
            </w:r>
          </w:p>
        </w:tc>
        <w:tc>
          <w:tcPr>
            <w:tcW w:type="dxa" w:w="2160"/>
          </w:tcPr>
          <w:p>
            <w:r>
              <w:t>全连通（光镊移动）</w:t>
            </w:r>
          </w:p>
        </w:tc>
        <w:tc>
          <w:tcPr>
            <w:tcW w:type="dxa" w:w="2160"/>
          </w:tcPr>
          <w:p>
            <w:r>
              <w:t>近邻（固定芯片）</w:t>
            </w:r>
          </w:p>
        </w:tc>
        <w:tc>
          <w:tcPr>
            <w:tcW w:type="dxa" w:w="2160"/>
          </w:tcPr>
          <w:p>
            <w:r>
              <w:t>全连通</w:t>
            </w:r>
          </w:p>
        </w:tc>
      </w:tr>
      <w:tr>
        <w:tc>
          <w:tcPr>
            <w:tcW w:type="dxa" w:w="2160"/>
          </w:tcPr>
          <w:p>
            <w:r>
              <w:t>扩展方式</w:t>
            </w:r>
          </w:p>
        </w:tc>
        <w:tc>
          <w:tcPr>
            <w:tcW w:type="dxa" w:w="2160"/>
          </w:tcPr>
          <w:p>
            <w:r>
              <w:t>单模块加原子</w:t>
            </w:r>
          </w:p>
        </w:tc>
        <w:tc>
          <w:tcPr>
            <w:tcW w:type="dxa" w:w="2160"/>
          </w:tcPr>
          <w:p>
            <w:r>
              <w:t>多芯片互联</w:t>
            </w:r>
          </w:p>
        </w:tc>
        <w:tc>
          <w:tcPr>
            <w:tcW w:type="dxa" w:w="2160"/>
          </w:tcPr>
          <w:p>
            <w:r>
              <w:t>多阱互联</w:t>
            </w:r>
          </w:p>
        </w:tc>
      </w:tr>
      <w:tr>
        <w:tc>
          <w:tcPr>
            <w:tcW w:type="dxa" w:w="2160"/>
          </w:tcPr>
          <w:p>
            <w:r>
              <w:t>最大阵列（已展示）</w:t>
            </w:r>
          </w:p>
        </w:tc>
        <w:tc>
          <w:tcPr>
            <w:tcW w:type="dxa" w:w="2160"/>
          </w:tcPr>
          <w:p>
            <w:r>
              <w:t>3,000+ 原子</w:t>
            </w:r>
          </w:p>
        </w:tc>
        <w:tc>
          <w:tcPr>
            <w:tcW w:type="dxa" w:w="2160"/>
          </w:tcPr>
          <w:p>
            <w:r>
              <w:t>1,121 量子比特</w:t>
            </w:r>
          </w:p>
        </w:tc>
        <w:tc>
          <w:tcPr>
            <w:tcW w:type="dxa" w:w="2160"/>
          </w:tcPr>
          <w:p>
            <w:r>
              <w:t>56 量子比特</w:t>
            </w:r>
          </w:p>
        </w:tc>
      </w:tr>
      <w:tr>
        <w:tc>
          <w:tcPr>
            <w:tcW w:type="dxa" w:w="2160"/>
          </w:tcPr>
          <w:p>
            <w:r>
              <w:t>门保真度（二比特）</w:t>
            </w:r>
          </w:p>
        </w:tc>
        <w:tc>
          <w:tcPr>
            <w:tcW w:type="dxa" w:w="2160"/>
          </w:tcPr>
          <w:p>
            <w:r>
              <w:t>~99.92%</w:t>
            </w:r>
          </w:p>
        </w:tc>
        <w:tc>
          <w:tcPr>
            <w:tcW w:type="dxa" w:w="2160"/>
          </w:tcPr>
          <w:p>
            <w:r>
              <w:t>~99.85%</w:t>
            </w:r>
          </w:p>
        </w:tc>
        <w:tc>
          <w:tcPr>
            <w:tcW w:type="dxa" w:w="2160"/>
          </w:tcPr>
          <w:p>
            <w:r>
              <w:t>~99.8%</w:t>
            </w:r>
          </w:p>
        </w:tc>
      </w:tr>
    </w:tbl>
    <w:p>
      <w:r>
        <w:t>中性原子的"全连通 + 可动态移动"是 Transversal STAR 架构成立的物理基础。</w:t>
      </w:r>
    </w:p>
    <w:p>
      <w:pPr>
        <w:pStyle w:val="Heading2"/>
      </w:pPr>
      <w:r>
        <w:t>2.3 论文验证时间线</w:t>
      </w:r>
    </w:p>
    <w:p>
      <w:r>
        <w:t>论文产出与路线图升级存在清晰的因果链。Google/软银 $230M 不是在"先给钱再研发"，而是看到论文验证后才投的。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里程碑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详情</w:t>
            </w:r>
          </w:p>
        </w:tc>
      </w:tr>
      <w:tr>
        <w:tc>
          <w:tcPr>
            <w:tcW w:type="dxa" w:w="2880"/>
          </w:tcPr>
          <w:p>
            <w:r>
              <w:t>2023.12</w:t>
            </w:r>
          </w:p>
        </w:tc>
        <w:tc>
          <w:tcPr>
            <w:tcW w:type="dxa" w:w="2880"/>
          </w:tcPr>
          <w:p>
            <w:r>
              <w:t>48 逻辑比特展示</w:t>
            </w:r>
          </w:p>
        </w:tc>
        <w:tc>
          <w:tcPr>
            <w:tcW w:type="dxa" w:w="2880"/>
          </w:tcPr>
          <w:p>
            <w:r>
              <w:t>Nature: Logical quantum processor — Physics World 年度突破</w:t>
            </w:r>
          </w:p>
        </w:tc>
      </w:tr>
      <w:tr>
        <w:tc>
          <w:tcPr>
            <w:tcW w:type="dxa" w:w="2880"/>
          </w:tcPr>
          <w:p>
            <w:r>
              <w:t>2024.03</w:t>
            </w:r>
          </w:p>
        </w:tc>
        <w:tc>
          <w:tcPr>
            <w:tcW w:type="dxa" w:w="2880"/>
          </w:tcPr>
          <w:p>
            <w:r>
              <w:t>恒开销容错理论</w:t>
            </w:r>
          </w:p>
        </w:tc>
        <w:tc>
          <w:tcPr>
            <w:tcW w:type="dxa" w:w="2880"/>
          </w:tcPr>
          <w:p>
            <w:r>
              <w:t>Nature Physics: Constant-Overhead FTQC</w:t>
            </w:r>
          </w:p>
        </w:tc>
      </w:tr>
      <w:tr>
        <w:tc>
          <w:tcPr>
            <w:tcW w:type="dxa" w:w="2880"/>
          </w:tcPr>
          <w:p>
            <w:r>
              <w:t>2024.04</w:t>
            </w:r>
          </w:p>
        </w:tc>
        <w:tc>
          <w:tcPr>
            <w:tcW w:type="dxa" w:w="2880"/>
          </w:tcPr>
          <w:p>
            <w:r>
              <w:t>关联解码横向逻辑门</w:t>
            </w:r>
          </w:p>
        </w:tc>
        <w:tc>
          <w:tcPr>
            <w:tcW w:type="dxa" w:w="2880"/>
          </w:tcPr>
          <w:p>
            <w:r>
              <w:t>PRL: Correlated decoding of logical algorithms</w:t>
            </w:r>
          </w:p>
        </w:tc>
      </w:tr>
      <w:tr>
        <w:tc>
          <w:tcPr>
            <w:tcW w:type="dxa" w:w="2880"/>
          </w:tcPr>
          <w:p>
            <w:r>
              <w:t>2024.12</w:t>
            </w:r>
          </w:p>
        </w:tc>
        <w:tc>
          <w:tcPr>
            <w:tcW w:type="dxa" w:w="2880"/>
          </w:tcPr>
          <w:p>
            <w:r>
              <w:t>逻辑魔态蒸馏实验</w:t>
            </w:r>
          </w:p>
        </w:tc>
        <w:tc>
          <w:tcPr>
            <w:tcW w:type="dxa" w:w="2880"/>
          </w:tcPr>
          <w:p>
            <w:r>
              <w:t>Nature: Magic State Distillation 验证</w:t>
            </w:r>
          </w:p>
        </w:tc>
      </w:tr>
      <w:tr>
        <w:tc>
          <w:tcPr>
            <w:tcW w:type="dxa" w:w="2880"/>
          </w:tcPr>
          <w:p>
            <w:r>
              <w:t>2025.02</w:t>
            </w:r>
          </w:p>
        </w:tc>
        <w:tc>
          <w:tcPr>
            <w:tcW w:type="dxa" w:w="2880"/>
          </w:tcPr>
          <w:p>
            <w:r>
              <w:t>💰 $230M 融资</w:t>
            </w:r>
          </w:p>
        </w:tc>
        <w:tc>
          <w:tcPr>
            <w:tcW w:type="dxa" w:w="2880"/>
          </w:tcPr>
          <w:p>
            <w:r>
              <w:t>Google/软银领投——论文验证吸引资本</w:t>
            </w:r>
          </w:p>
        </w:tc>
      </w:tr>
      <w:tr>
        <w:tc>
          <w:tcPr>
            <w:tcW w:type="dxa" w:w="2880"/>
          </w:tcPr>
          <w:p>
            <w:r>
              <w:t>2025.06</w:t>
            </w:r>
          </w:p>
        </w:tc>
        <w:tc>
          <w:tcPr>
            <w:tcW w:type="dxa" w:w="2880"/>
          </w:tcPr>
          <w:p>
            <w:r>
              <w:t>6 篇密集产出</w:t>
            </w:r>
          </w:p>
        </w:tc>
        <w:tc>
          <w:tcPr>
            <w:tcW w:type="dxa" w:w="2880"/>
          </w:tcPr>
          <w:p>
            <w:r>
              <w:t>横向架构 + qLDPC + 魔态蒸馏 + 编译优化</w:t>
            </w:r>
          </w:p>
        </w:tc>
      </w:tr>
      <w:tr>
        <w:tc>
          <w:tcPr>
            <w:tcW w:type="dxa" w:w="2880"/>
          </w:tcPr>
          <w:p>
            <w:r>
              <w:t>2025.09</w:t>
            </w:r>
          </w:p>
        </w:tc>
        <w:tc>
          <w:tcPr>
            <w:tcW w:type="dxa" w:w="2880"/>
          </w:tcPr>
          <w:p>
            <w:r>
              <w:t>STAR 架构预印本</w:t>
            </w:r>
          </w:p>
        </w:tc>
        <w:tc>
          <w:tcPr>
            <w:tcW w:type="dxa" w:w="2880"/>
          </w:tcPr>
          <w:p>
            <w:r>
              <w:t>Nature + arXiv: Transversal STAR</w:t>
            </w:r>
          </w:p>
        </w:tc>
      </w:tr>
      <w:tr>
        <w:tc>
          <w:tcPr>
            <w:tcW w:type="dxa" w:w="2880"/>
          </w:tcPr>
          <w:p>
            <w:r>
              <w:t>2026.04</w:t>
            </w:r>
          </w:p>
        </w:tc>
        <w:tc>
          <w:tcPr>
            <w:tcW w:type="dxa" w:w="2880"/>
          </w:tcPr>
          <w:p>
            <w:r>
              <w:t>Tsim + 超高率 QEC</w:t>
            </w:r>
          </w:p>
        </w:tc>
        <w:tc>
          <w:tcPr>
            <w:tcW w:type="dxa" w:w="2880"/>
          </w:tcPr>
          <w:p>
            <w:r>
              <w:t>10⁻¹³ 错误率验证</w:t>
            </w:r>
          </w:p>
        </w:tc>
      </w:tr>
      <w:tr>
        <w:tc>
          <w:tcPr>
            <w:tcW w:type="dxa" w:w="2880"/>
          </w:tcPr>
          <w:p>
            <w:r>
              <w:t>2026.05</w:t>
            </w:r>
          </w:p>
        </w:tc>
        <w:tc>
          <w:tcPr>
            <w:tcW w:type="dxa" w:w="2880"/>
          </w:tcPr>
          <w:p>
            <w:r>
              <w:t>STAR 正式发表</w:t>
            </w:r>
          </w:p>
        </w:tc>
        <w:tc>
          <w:tcPr>
            <w:tcW w:type="dxa" w:w="2880"/>
          </w:tcPr>
          <w:p>
            <w:r>
              <w:t>PRX Quantum: Transversal Architecture</w:t>
            </w:r>
          </w:p>
        </w:tc>
      </w:tr>
      <w:tr>
        <w:tc>
          <w:tcPr>
            <w:tcW w:type="dxa" w:w="2880"/>
          </w:tcPr>
          <w:p>
            <w:r>
              <w:t>2026.06</w:t>
            </w:r>
          </w:p>
        </w:tc>
        <w:tc>
          <w:tcPr>
            <w:tcW w:type="dxa" w:w="2880"/>
          </w:tcPr>
          <w:p>
            <w:r>
              <w:t>🎯 Libra 2028 宣布</w:t>
            </w:r>
          </w:p>
        </w:tc>
        <w:tc>
          <w:tcPr>
            <w:tcW w:type="dxa" w:w="2880"/>
          </w:tcPr>
          <w:p>
            <w:r>
              <w:t>256逻辑比特,10⁻⁶ → 1000+,10⁻⁹</w:t>
            </w:r>
          </w:p>
        </w:tc>
      </w:tr>
    </w:tbl>
    <w:p>
      <w:pPr>
        <w:pStyle w:val="Heading1"/>
      </w:pPr>
      <w:r>
        <w:t>三、两阶段路线图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Libra (2028)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Next Gen (2028-29)</w:t>
            </w:r>
          </w:p>
        </w:tc>
      </w:tr>
      <w:tr>
        <w:tc>
          <w:tcPr>
            <w:tcW w:type="dxa" w:w="2880"/>
          </w:tcPr>
          <w:p>
            <w:r>
              <w:t>逻辑量子比特</w:t>
            </w:r>
          </w:p>
        </w:tc>
        <w:tc>
          <w:tcPr>
            <w:tcW w:type="dxa" w:w="2880"/>
          </w:tcPr>
          <w:p>
            <w:r>
              <w:t>256</w:t>
            </w:r>
          </w:p>
        </w:tc>
        <w:tc>
          <w:tcPr>
            <w:tcW w:type="dxa" w:w="2880"/>
          </w:tcPr>
          <w:p>
            <w:r>
              <w:t>1,000+</w:t>
            </w:r>
          </w:p>
        </w:tc>
      </w:tr>
      <w:tr>
        <w:tc>
          <w:tcPr>
            <w:tcW w:type="dxa" w:w="2880"/>
          </w:tcPr>
          <w:p>
            <w:r>
              <w:t>物理量子比特</w:t>
            </w:r>
          </w:p>
        </w:tc>
        <w:tc>
          <w:tcPr>
            <w:tcW w:type="dxa" w:w="2880"/>
          </w:tcPr>
          <w:p>
            <w:r>
              <w:t>10,000-15,000</w:t>
            </w:r>
          </w:p>
        </w:tc>
        <w:tc>
          <w:tcPr>
            <w:tcW w:type="dxa" w:w="2880"/>
          </w:tcPr>
          <w:p>
            <w:r>
              <w:t>20,000+</w:t>
            </w:r>
          </w:p>
        </w:tc>
      </w:tr>
      <w:tr>
        <w:tc>
          <w:tcPr>
            <w:tcW w:type="dxa" w:w="2880"/>
          </w:tcPr>
          <w:p>
            <w:r>
              <w:t>逻辑错误率</w:t>
            </w:r>
          </w:p>
        </w:tc>
        <w:tc>
          <w:tcPr>
            <w:tcW w:type="dxa" w:w="2880"/>
          </w:tcPr>
          <w:p>
            <w:r>
              <w:t>10⁻⁶</w:t>
            </w:r>
          </w:p>
        </w:tc>
        <w:tc>
          <w:tcPr>
            <w:tcW w:type="dxa" w:w="2880"/>
          </w:tcPr>
          <w:p>
            <w:r>
              <w:t>10⁻⁹</w:t>
            </w:r>
          </w:p>
        </w:tc>
      </w:tr>
      <w:tr>
        <w:tc>
          <w:tcPr>
            <w:tcW w:type="dxa" w:w="2880"/>
          </w:tcPr>
          <w:p>
            <w:r>
              <w:t>可靠逻辑操作</w:t>
            </w:r>
          </w:p>
        </w:tc>
        <w:tc>
          <w:tcPr>
            <w:tcW w:type="dxa" w:w="2880"/>
          </w:tcPr>
          <w:p>
            <w:r>
              <w:t>100万次 (megaquop)</w:t>
            </w:r>
          </w:p>
        </w:tc>
        <w:tc>
          <w:tcPr>
            <w:tcW w:type="dxa" w:w="2880"/>
          </w:tcPr>
          <w:p>
            <w:r>
              <w:t>10亿次 (gigaquop)</w:t>
            </w:r>
          </w:p>
        </w:tc>
      </w:tr>
      <w:tr>
        <w:tc>
          <w:tcPr>
            <w:tcW w:type="dxa" w:w="2880"/>
          </w:tcPr>
          <w:p>
            <w:r>
              <w:t>部署平台</w:t>
            </w:r>
          </w:p>
        </w:tc>
        <w:tc>
          <w:tcPr>
            <w:tcW w:type="dxa" w:w="2880"/>
          </w:tcPr>
          <w:p>
            <w:r>
              <w:t>AWS Braket</w:t>
            </w:r>
          </w:p>
        </w:tc>
        <w:tc>
          <w:tcPr>
            <w:tcW w:type="dxa" w:w="2880"/>
          </w:tcPr>
          <w:p>
            <w:r>
              <w:t>AWS Braket</w:t>
            </w:r>
          </w:p>
        </w:tc>
      </w:tr>
      <w:tr>
        <w:tc>
          <w:tcPr>
            <w:tcW w:type="dxa" w:w="2880"/>
          </w:tcPr>
          <w:p>
            <w:r>
              <w:t>典型应用</w:t>
            </w:r>
          </w:p>
        </w:tc>
        <w:tc>
          <w:tcPr>
            <w:tcW w:type="dxa" w:w="2880"/>
          </w:tcPr>
          <w:p>
            <w:r>
              <w:t>量子模拟</w:t>
            </w:r>
          </w:p>
        </w:tc>
        <w:tc>
          <w:tcPr>
            <w:tcW w:type="dxa" w:w="2880"/>
          </w:tcPr>
          <w:p>
            <w:r>
              <w:t>量子化学/高能物理/聚变</w:t>
            </w:r>
          </w:p>
        </w:tc>
      </w:tr>
    </w:tbl>
    <w:p>
      <w:pPr>
        <w:pStyle w:val="Heading1"/>
      </w:pPr>
      <w:r>
        <w:t>四、风险评估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风险类别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2880"/>
          </w:tcPr>
          <w:p>
            <w:r>
              <w:t>工程风险</w:t>
            </w:r>
          </w:p>
        </w:tc>
        <w:tc>
          <w:tcPr>
            <w:tcW w:type="dxa" w:w="2880"/>
          </w:tcPr>
          <w:p>
            <w:r>
              <w:t>🟡 中等</w:t>
            </w:r>
          </w:p>
        </w:tc>
        <w:tc>
          <w:tcPr>
            <w:tcW w:type="dxa" w:w="2880"/>
          </w:tcPr>
          <w:p>
            <w:r>
              <w:t>3,000 → 10,000+ 原子良率；实时原子重载复杂度；GPU实时解码延迟</w:t>
            </w:r>
          </w:p>
        </w:tc>
      </w:tr>
      <w:tr>
        <w:tc>
          <w:tcPr>
            <w:tcW w:type="dxa" w:w="2880"/>
          </w:tcPr>
          <w:p>
            <w:r>
              <w:t>时间风险</w:t>
            </w:r>
          </w:p>
        </w:tc>
        <w:tc>
          <w:tcPr>
            <w:tcW w:type="dxa" w:w="2880"/>
          </w:tcPr>
          <w:p>
            <w:r>
              <w:t>🔴 中高</w:t>
            </w:r>
          </w:p>
        </w:tc>
        <w:tc>
          <w:tcPr>
            <w:tcW w:type="dxa" w:w="2880"/>
          </w:tcPr>
          <w:p>
            <w:r>
              <w:t>2年从论文到商用；AWS集成需额外软件栈开发</w:t>
            </w:r>
          </w:p>
        </w:tc>
      </w:tr>
      <w:tr>
        <w:tc>
          <w:tcPr>
            <w:tcW w:type="dxa" w:w="2880"/>
          </w:tcPr>
          <w:p>
            <w:r>
              <w:t>人才风险</w:t>
            </w:r>
          </w:p>
        </w:tc>
        <w:tc>
          <w:tcPr>
            <w:tcW w:type="dxa" w:w="2880"/>
          </w:tcPr>
          <w:p>
            <w:r>
              <w:t>🟢 中低</w:t>
            </w:r>
          </w:p>
        </w:tc>
        <w:tc>
          <w:tcPr>
            <w:tcW w:type="dxa" w:w="2880"/>
          </w:tcPr>
          <w:p>
            <w:r>
              <w:t>核心依赖四位学术创始人；量子工程人才稀缺</w:t>
            </w:r>
          </w:p>
        </w:tc>
      </w:tr>
      <w:tr>
        <w:tc>
          <w:tcPr>
            <w:tcW w:type="dxa" w:w="2880"/>
          </w:tcPr>
          <w:p>
            <w:r>
              <w:t>竞争风险</w:t>
            </w:r>
          </w:p>
        </w:tc>
        <w:tc>
          <w:tcPr>
            <w:tcW w:type="dxa" w:w="2880"/>
          </w:tcPr>
          <w:p>
            <w:r>
              <w:t>🟡 中等</w:t>
            </w:r>
          </w:p>
        </w:tc>
        <w:tc>
          <w:tcPr>
            <w:tcW w:type="dxa" w:w="2880"/>
          </w:tcPr>
          <w:p>
            <w:r>
              <w:t>IBM 2029年FTQC（仅晚1年）；Pasqal欧陆竞争；Atom+Quantinuum合并</w:t>
            </w:r>
          </w:p>
        </w:tc>
      </w:tr>
    </w:tbl>
    <w:p>
      <w:pPr>
        <w:pStyle w:val="Heading1"/>
      </w:pPr>
      <w:r>
        <w:t>五、综合判断</w:t>
      </w:r>
    </w:p>
    <w:p>
      <w:r>
        <w:t>QuEra 的 2028 路线图可信度：较高（7.5/10）</w:t>
      </w:r>
    </w:p>
    <w:p>
      <w:pPr>
        <w:pStyle w:val="Heading2"/>
      </w:pPr>
      <w:r>
        <w:t>加分项</w:t>
      </w:r>
    </w:p>
    <w:p>
      <w:pPr>
        <w:pStyle w:val="ListBullet"/>
      </w:pPr>
      <w:r>
        <w:t>技术路线有清晰的理论和实验基础，非凭空想象</w:t>
      </w:r>
    </w:p>
    <w:p>
      <w:pPr>
        <w:pStyle w:val="ListBullet"/>
      </w:pPr>
      <w:r>
        <w:t>论文-融资-产品节奏高度协调，符合深科技公司发展规律</w:t>
      </w:r>
    </w:p>
    <w:p>
      <w:pPr>
        <w:pStyle w:val="ListBullet"/>
      </w:pPr>
      <w:r>
        <w:t>中性原子平台在扩展性和工程化方面确实有独特优势</w:t>
      </w:r>
    </w:p>
    <w:p>
      <w:pPr>
        <w:pStyle w:val="Heading2"/>
      </w:pPr>
      <w:r>
        <w:t>减分项</w:t>
      </w:r>
    </w:p>
    <w:p>
      <w:pPr>
        <w:pStyle w:val="ListBullet"/>
      </w:pPr>
      <w:r>
        <w:t>2 年交付周期对硬件公司而言极短</w:t>
      </w:r>
    </w:p>
    <w:p>
      <w:pPr>
        <w:pStyle w:val="ListBullet"/>
      </w:pPr>
      <w:r>
        <w:t>从 3,000 到 10,000+ 原子的良率跃升尚未公开展示</w:t>
      </w:r>
    </w:p>
    <w:p>
      <w:pPr>
        <w:pStyle w:val="ListBullet"/>
      </w:pPr>
      <w:r>
        <w:t>竞争对手的追赶速度可能压缩先发优势窗口</w:t>
      </w:r>
    </w:p>
    <w:p>
      <w:r>
        <w:br/>
        <w:t>对领导层的建议：密切关注 QuEra 在 2026年下半年到2027年初的实际硬件里程碑（如 Gemini 系统的逻辑比特保真度数据），这将是判断 2028年能否兑现的关键先行指标。</w:t>
      </w:r>
    </w:p>
    <w:p/>
    <w:p>
      <w:r>
        <w:rPr>
          <w:color w:val="808080"/>
          <w:sz w:val="18"/>
        </w:rPr>
        <w:t>本报告基于 QuEra 官网公开信息、89篇论文数据、PRX Quantum/Nature 等期刊发表记录、以及 2026年6月 QuEra-AWS 联合公告综合分析。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