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DF785">
      <w:pPr>
        <w:outlineLvl w:val="0"/>
        <w:rPr>
          <w:rFonts w:hint="eastAsia" w:ascii="方正仿宋_GB2312" w:hAnsi="方正仿宋_GB2312" w:eastAsia="方正仿宋_GB2312" w:cs="方正仿宋_GB2312"/>
          <w:b/>
          <w:bCs/>
          <w:sz w:val="28"/>
          <w:szCs w:val="28"/>
        </w:rPr>
      </w:pPr>
      <w:bookmarkStart w:id="0" w:name="_Toc17297"/>
      <w:r>
        <w:rPr>
          <w:rFonts w:hint="eastAsia" w:ascii="方正仿宋_GB2312" w:hAnsi="方正仿宋_GB2312" w:eastAsia="方正仿宋_GB2312" w:cs="方正仿宋_GB2312"/>
          <w:b/>
          <w:bCs/>
          <w:sz w:val="28"/>
          <w:szCs w:val="28"/>
        </w:rPr>
        <w:t>一、量子计算技术路线</w:t>
      </w:r>
      <w:bookmarkEnd w:id="0"/>
    </w:p>
    <w:p w14:paraId="7E7F1FE5">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当前量子计算硬件技术路线呈现多元化并行发展态势，依据量子比特物理载体的形态差异，大体可分为固态平台与非固态平台两类。固态平台基于人造量子系统，依托半导体微纳加工工艺实现比特集成，在规模化扩展方面具有天然优势；非固态平台基于天然微观粒子，直接操控原子、离子或光子的内禀量子属性，在相干时间和操控精度方面表现优异。两类平台各含多条技术路线，短期内难以形成单一主导方案，预计将在相当长时期内保持并行发展格局。</w:t>
      </w:r>
    </w:p>
    <w:p w14:paraId="69C5C284">
      <w:pPr>
        <w:ind w:firstLine="560" w:firstLineChars="200"/>
        <w:rPr>
          <w:rFonts w:hint="eastAsia" w:ascii="方正仿宋_GB2312" w:hAnsi="方正仿宋_GB2312" w:eastAsia="方正仿宋_GB2312" w:cs="方正仿宋_GB2312"/>
          <w:sz w:val="28"/>
          <w:szCs w:val="28"/>
        </w:rPr>
      </w:pPr>
    </w:p>
    <w:p w14:paraId="0E9B9F6E">
      <w:pPr>
        <w:outlineLvl w:val="1"/>
        <w:rPr>
          <w:rFonts w:hint="eastAsia" w:ascii="方正仿宋_GB2312" w:hAnsi="方正仿宋_GB2312" w:eastAsia="方正仿宋_GB2312" w:cs="方正仿宋_GB2312"/>
          <w:b/>
          <w:bCs/>
          <w:sz w:val="28"/>
          <w:szCs w:val="28"/>
        </w:rPr>
      </w:pPr>
      <w:bookmarkStart w:id="1" w:name="_Toc10035"/>
      <w:r>
        <w:rPr>
          <w:rFonts w:hint="eastAsia" w:ascii="方正仿宋_GB2312" w:hAnsi="方正仿宋_GB2312" w:eastAsia="方正仿宋_GB2312" w:cs="方正仿宋_GB2312"/>
          <w:b/>
          <w:bCs/>
          <w:sz w:val="28"/>
          <w:szCs w:val="28"/>
        </w:rPr>
        <w:t>（一）固态平台</w:t>
      </w:r>
      <w:bookmarkEnd w:id="1"/>
    </w:p>
    <w:p w14:paraId="5F3A7436">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固态平台量子计算以人造量子系统作为比特载体，通过在固体材料中构造二能级系统实现量子信息编码。该类路线的共性特征在于可依托成熟的半导体微纳加工工艺进行规模化制造，比特数量扩展潜力较大，工程化路径相对清晰；其面临的共性挑战在于人造比特的物理参数易受材料缺陷和工艺涨落影响，量子态与固体环境耦合较强，导致相干时间相对较短，且需要极低温或强磁场等特殊运行条件。</w:t>
      </w:r>
    </w:p>
    <w:p w14:paraId="411D5EFC">
      <w:pPr>
        <w:rPr>
          <w:rFonts w:hint="eastAsia" w:ascii="方正仿宋_GB2312" w:hAnsi="方正仿宋_GB2312" w:eastAsia="方正仿宋_GB2312" w:cs="方正仿宋_GB2312"/>
          <w:sz w:val="28"/>
          <w:szCs w:val="28"/>
        </w:rPr>
      </w:pPr>
    </w:p>
    <w:p w14:paraId="4F3E04E1">
      <w:pPr>
        <w:outlineLvl w:val="2"/>
        <w:rPr>
          <w:rFonts w:hint="eastAsia" w:ascii="方正仿宋_GB2312" w:hAnsi="方正仿宋_GB2312" w:eastAsia="方正仿宋_GB2312" w:cs="方正仿宋_GB2312"/>
          <w:b/>
          <w:bCs/>
          <w:sz w:val="28"/>
          <w:szCs w:val="28"/>
        </w:rPr>
      </w:pPr>
      <w:bookmarkStart w:id="2" w:name="_Toc11422"/>
      <w:r>
        <w:rPr>
          <w:rFonts w:hint="eastAsia" w:ascii="方正仿宋_GB2312" w:hAnsi="方正仿宋_GB2312" w:eastAsia="方正仿宋_GB2312" w:cs="方正仿宋_GB2312"/>
          <w:b/>
          <w:bCs/>
          <w:sz w:val="28"/>
          <w:szCs w:val="28"/>
          <w:lang w:val="en-US" w:eastAsia="zh-CN"/>
        </w:rPr>
        <w:t>1、</w:t>
      </w:r>
      <w:r>
        <w:rPr>
          <w:rFonts w:hint="eastAsia" w:ascii="方正仿宋_GB2312" w:hAnsi="方正仿宋_GB2312" w:eastAsia="方正仿宋_GB2312" w:cs="方正仿宋_GB2312"/>
          <w:b/>
          <w:bCs/>
          <w:sz w:val="28"/>
          <w:szCs w:val="28"/>
        </w:rPr>
        <w:t>超导量子计算</w:t>
      </w:r>
      <w:bookmarkEnd w:id="2"/>
    </w:p>
    <w:p w14:paraId="57743A1A">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超导量子计算基于超导约瑟夫森结构造二能级系统，利用约瑟夫森结的非线性电感效应使超导电路在极低温下表现出宏观量子行为，通过微波脉冲调节量子比特的能级、耦合强度与量子态转换，实现量子逻辑门操作。该路线的核心优势在于与现有集成电路工艺高度兼容，可复用半导体行业的光刻、薄膜沉积等成熟制造设备，比特数量扩展速度快，门操作速度达到纳秒级，是目前技术最为成熟、生态最为完整的量子计算方案。其局限性在于量子比特相干时间较短，通常为微秒量级，且需要在约10毫开的极低温环境中运行，稀释制冷机等核心设备的工程化与运维门槛极高，比特间的串扰随规模扩大而加剧，量子纠错所需的物理比特开销较大。</w:t>
      </w:r>
    </w:p>
    <w:p w14:paraId="112EF43B">
      <w:pPr>
        <w:rPr>
          <w:rFonts w:hint="eastAsia" w:ascii="方正仿宋_GB2312" w:hAnsi="方正仿宋_GB2312" w:eastAsia="方正仿宋_GB2312" w:cs="方正仿宋_GB2312"/>
          <w:sz w:val="28"/>
          <w:szCs w:val="28"/>
        </w:rPr>
      </w:pPr>
    </w:p>
    <w:p w14:paraId="7EC3BCEB">
      <w:pPr>
        <w:outlineLvl w:val="2"/>
        <w:rPr>
          <w:rFonts w:hint="eastAsia" w:ascii="方正仿宋_GB2312" w:hAnsi="方正仿宋_GB2312" w:eastAsia="方正仿宋_GB2312" w:cs="方正仿宋_GB2312"/>
          <w:b/>
          <w:bCs/>
          <w:sz w:val="28"/>
          <w:szCs w:val="28"/>
        </w:rPr>
      </w:pPr>
      <w:bookmarkStart w:id="3" w:name="_Toc4631"/>
      <w:r>
        <w:rPr>
          <w:rFonts w:hint="eastAsia" w:ascii="方正仿宋_GB2312" w:hAnsi="方正仿宋_GB2312" w:eastAsia="方正仿宋_GB2312" w:cs="方正仿宋_GB2312"/>
          <w:b/>
          <w:bCs/>
          <w:sz w:val="28"/>
          <w:szCs w:val="28"/>
          <w:lang w:val="en-US" w:eastAsia="zh-CN"/>
        </w:rPr>
        <w:t>2、</w:t>
      </w:r>
      <w:r>
        <w:rPr>
          <w:rFonts w:hint="eastAsia" w:ascii="方正仿宋_GB2312" w:hAnsi="方正仿宋_GB2312" w:eastAsia="方正仿宋_GB2312" w:cs="方正仿宋_GB2312"/>
          <w:b/>
          <w:bCs/>
          <w:sz w:val="28"/>
          <w:szCs w:val="28"/>
        </w:rPr>
        <w:t>硅半导体量子计算</w:t>
      </w:r>
      <w:bookmarkEnd w:id="3"/>
    </w:p>
    <w:p w14:paraId="5D8F7567">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硅半导体量子计算利用量子点中囚禁的单电子或空穴作为量子比特，以电子自旋或电荷自由度编码量子信息，通过电脉冲实现量子比特的操控和耦合。该路线的突出优势在于与成熟的互补金属氧化物半导体工艺完全兼容，可借助现有晶圆厂的大规模制造能力实现量子芯片的量产，长期看具有显著的成本下探空间和供应链配套优势，比特扩展性良好。其技术瓶颈在于电子自旋易受电磁环境噪声和介电层缺陷影响，量子比特操控精度相对不足，相干时间较短，且同位素材料加工和栅极间串扰等问题制约了规模扩展性和门保真度的进一步提升，在多元路线竞争中尚未展现出明确的综合优势。</w:t>
      </w:r>
    </w:p>
    <w:p w14:paraId="56974758">
      <w:pPr>
        <w:ind w:firstLine="560" w:firstLineChars="200"/>
        <w:rPr>
          <w:rFonts w:hint="eastAsia" w:ascii="方正仿宋_GB2312" w:hAnsi="方正仿宋_GB2312" w:eastAsia="方正仿宋_GB2312" w:cs="方正仿宋_GB2312"/>
          <w:sz w:val="28"/>
          <w:szCs w:val="28"/>
        </w:rPr>
      </w:pPr>
    </w:p>
    <w:p w14:paraId="1C100A7F">
      <w:pPr>
        <w:outlineLvl w:val="2"/>
        <w:rPr>
          <w:rFonts w:hint="eastAsia" w:ascii="方正仿宋_GB2312" w:hAnsi="方正仿宋_GB2312" w:eastAsia="方正仿宋_GB2312" w:cs="方正仿宋_GB2312"/>
          <w:b/>
          <w:bCs/>
          <w:sz w:val="28"/>
          <w:szCs w:val="28"/>
        </w:rPr>
      </w:pPr>
      <w:bookmarkStart w:id="4" w:name="_Toc11375"/>
      <w:r>
        <w:rPr>
          <w:rFonts w:hint="eastAsia" w:ascii="方正仿宋_GB2312" w:hAnsi="方正仿宋_GB2312" w:eastAsia="方正仿宋_GB2312" w:cs="方正仿宋_GB2312"/>
          <w:b/>
          <w:bCs/>
          <w:sz w:val="28"/>
          <w:szCs w:val="28"/>
          <w:lang w:val="en-US" w:eastAsia="zh-CN"/>
        </w:rPr>
        <w:t>3、</w:t>
      </w:r>
      <w:r>
        <w:rPr>
          <w:rFonts w:hint="eastAsia" w:ascii="方正仿宋_GB2312" w:hAnsi="方正仿宋_GB2312" w:eastAsia="方正仿宋_GB2312" w:cs="方正仿宋_GB2312"/>
          <w:b/>
          <w:bCs/>
          <w:sz w:val="28"/>
          <w:szCs w:val="28"/>
        </w:rPr>
        <w:t>拓扑量子计算</w:t>
      </w:r>
      <w:bookmarkEnd w:id="4"/>
    </w:p>
    <w:p w14:paraId="3E0CAE3C">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拓扑量子计算利用拓扑序材料中的任意子激发构造量子比特，通过编织操作实现量子门，借助拓扑保护使量子信息免受局域噪声干扰。该路线的理论优势极为突出，天然具备最优的容错特性，对退相干和局域扰动具有本质上的免疫能力，被认为是实现大规模可容错量子计算的终极方案之一。然而，该路线目前面临根本性的物理实现障碍，稳定的非阿贝尔任意子载体尚未在实验中被确证，马约拉纳零能模等候选体系仍处于实验室探索阶段，距离构建可操作的拓扑量子比特仍有较大距离，产业化前景尚不明朗。</w:t>
      </w:r>
    </w:p>
    <w:p w14:paraId="2F5CFBDD">
      <w:pPr>
        <w:rPr>
          <w:rFonts w:hint="eastAsia" w:ascii="方正仿宋_GB2312" w:hAnsi="方正仿宋_GB2312" w:eastAsia="方正仿宋_GB2312" w:cs="方正仿宋_GB2312"/>
          <w:sz w:val="28"/>
          <w:szCs w:val="28"/>
        </w:rPr>
      </w:pPr>
    </w:p>
    <w:p w14:paraId="5E75D147">
      <w:pPr>
        <w:outlineLvl w:val="1"/>
        <w:rPr>
          <w:rFonts w:hint="eastAsia" w:ascii="方正仿宋_GB2312" w:hAnsi="方正仿宋_GB2312" w:eastAsia="方正仿宋_GB2312" w:cs="方正仿宋_GB2312"/>
          <w:b/>
          <w:bCs/>
          <w:sz w:val="28"/>
          <w:szCs w:val="28"/>
        </w:rPr>
      </w:pPr>
      <w:bookmarkStart w:id="5" w:name="_Toc14674"/>
      <w:r>
        <w:rPr>
          <w:rFonts w:hint="eastAsia" w:ascii="方正仿宋_GB2312" w:hAnsi="方正仿宋_GB2312" w:eastAsia="方正仿宋_GB2312" w:cs="方正仿宋_GB2312"/>
          <w:b/>
          <w:bCs/>
          <w:sz w:val="28"/>
          <w:szCs w:val="28"/>
        </w:rPr>
        <w:t>（二）非固态平台</w:t>
      </w:r>
      <w:bookmarkEnd w:id="5"/>
    </w:p>
    <w:p w14:paraId="48C745E8">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非固态平台量子计算以天然微观粒子作为量子比特载体，直接利用原子、离子或光子的内禀量子属性进行信息编码与处理。这类路线的核心优势在于量子比特具有天然的物理全同性，无需复杂的材料工程即可实现高度一致的量子特性，相干时间长，操控精度高；其面临的共性挑战在于大规模系统集成难度较高，需要精密的光学或电磁操控手段，比特数量扩展速度相对较慢，工程化复杂度随规模上升而显著增加。</w:t>
      </w:r>
    </w:p>
    <w:p w14:paraId="1B63E627">
      <w:pPr>
        <w:ind w:firstLine="560" w:firstLineChars="200"/>
        <w:rPr>
          <w:rFonts w:hint="eastAsia" w:ascii="方正仿宋_GB2312" w:hAnsi="方正仿宋_GB2312" w:eastAsia="方正仿宋_GB2312" w:cs="方正仿宋_GB2312"/>
          <w:sz w:val="28"/>
          <w:szCs w:val="28"/>
        </w:rPr>
      </w:pPr>
    </w:p>
    <w:p w14:paraId="355A4E43">
      <w:pPr>
        <w:outlineLvl w:val="2"/>
        <w:rPr>
          <w:rFonts w:hint="eastAsia" w:ascii="方正仿宋_GB2312" w:hAnsi="方正仿宋_GB2312" w:eastAsia="方正仿宋_GB2312" w:cs="方正仿宋_GB2312"/>
          <w:b/>
          <w:bCs/>
          <w:sz w:val="28"/>
          <w:szCs w:val="28"/>
        </w:rPr>
      </w:pPr>
      <w:bookmarkStart w:id="6" w:name="_Toc2645"/>
      <w:r>
        <w:rPr>
          <w:rFonts w:hint="eastAsia" w:ascii="方正仿宋_GB2312" w:hAnsi="方正仿宋_GB2312" w:eastAsia="方正仿宋_GB2312" w:cs="方正仿宋_GB2312"/>
          <w:b/>
          <w:bCs/>
          <w:sz w:val="28"/>
          <w:szCs w:val="28"/>
          <w:lang w:val="en-US" w:eastAsia="zh-CN"/>
        </w:rPr>
        <w:t>1、</w:t>
      </w:r>
      <w:r>
        <w:rPr>
          <w:rFonts w:hint="eastAsia" w:ascii="方正仿宋_GB2312" w:hAnsi="方正仿宋_GB2312" w:eastAsia="方正仿宋_GB2312" w:cs="方正仿宋_GB2312"/>
          <w:b/>
          <w:bCs/>
          <w:sz w:val="28"/>
          <w:szCs w:val="28"/>
        </w:rPr>
        <w:t>离子阱量子计算</w:t>
      </w:r>
      <w:bookmarkEnd w:id="6"/>
    </w:p>
    <w:p w14:paraId="60823EA9">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离子阱量子计算利用射频电场在超高真空环境中囚禁单个带电原子，以离子的超精细能级或塞曼能级作为量子比特，通过激光或微波实现量子态的相干操控与读出。该路线的突出优势在于量子比特品质极高，单比特和双比特门保真度在所有技术路线中处于领先水平，相干时间可达秒级甚至更长，且系统支持全连接架构，任意两个量子比特之间可直接实现纠缠门操作，无需复杂的交换线路，在量子纠错和量子模拟任务中具有结构性优势。其主要瓶颈在于比特规模扩展困难，随着离子数量增加，射频势阱的稳定性下降，离子链的简正模频率拥挤导致串扰加剧，系统体积偏大且对超高真空环境要求严苛，门操作速度为毫秒级，远慢于超导路线，这些因素限制了其向更大规模迈进的步伐。</w:t>
      </w:r>
    </w:p>
    <w:p w14:paraId="667201B7">
      <w:pPr>
        <w:rPr>
          <w:rFonts w:hint="eastAsia" w:ascii="方正仿宋_GB2312" w:hAnsi="方正仿宋_GB2312" w:eastAsia="方正仿宋_GB2312" w:cs="方正仿宋_GB2312"/>
          <w:sz w:val="28"/>
          <w:szCs w:val="28"/>
        </w:rPr>
      </w:pPr>
    </w:p>
    <w:p w14:paraId="2AF45EB7">
      <w:pPr>
        <w:outlineLvl w:val="2"/>
        <w:rPr>
          <w:rFonts w:hint="eastAsia" w:ascii="方正仿宋_GB2312" w:hAnsi="方正仿宋_GB2312" w:eastAsia="方正仿宋_GB2312" w:cs="方正仿宋_GB2312"/>
          <w:sz w:val="28"/>
          <w:szCs w:val="28"/>
        </w:rPr>
      </w:pPr>
      <w:bookmarkStart w:id="7" w:name="_Toc19960"/>
      <w:r>
        <w:rPr>
          <w:rFonts w:hint="eastAsia" w:ascii="方正仿宋_GB2312" w:hAnsi="方正仿宋_GB2312" w:eastAsia="方正仿宋_GB2312" w:cs="方正仿宋_GB2312"/>
          <w:b/>
          <w:bCs/>
          <w:sz w:val="28"/>
          <w:szCs w:val="28"/>
          <w:lang w:val="en-US" w:eastAsia="zh-CN"/>
        </w:rPr>
        <w:t>2、</w:t>
      </w:r>
      <w:r>
        <w:rPr>
          <w:rFonts w:hint="eastAsia" w:ascii="方正仿宋_GB2312" w:hAnsi="方正仿宋_GB2312" w:eastAsia="方正仿宋_GB2312" w:cs="方正仿宋_GB2312"/>
          <w:b/>
          <w:bCs/>
          <w:sz w:val="28"/>
          <w:szCs w:val="28"/>
        </w:rPr>
        <w:t>中性原子量子计算</w:t>
      </w:r>
      <w:bookmarkEnd w:id="7"/>
    </w:p>
    <w:p w14:paraId="0FB7D024">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中性原子量子计算采用光镊或光晶格在真空环境中囚禁中性原子，利用原子内部能级编码量子信息，通过激光激发里德堡态实现原子间的长程相互作用和量子门操作。该路线兼具高保真特性与良好的可扩展性，光镊技术可灵活实现二维、三维原子阵列排布，比特数量扩展潜力在非固态路线中最为突出，原子在真空环境中受外界干扰较小，相干时间可达数秒，且系统支持动态重编程的连接拓扑，可根据算法需求灵活调整原子间的耦合关系。该路线的主要挑战在于里德堡态操控的复杂度较高，大规模原子阵列中的串扰抑制和个体寻址技术仍需突破，门操作速度相对较慢，且从实验室原型向工程化系统的转化尚处于早期阶段。</w:t>
      </w:r>
    </w:p>
    <w:p w14:paraId="2E20E7D8">
      <w:pPr>
        <w:rPr>
          <w:rFonts w:hint="eastAsia" w:ascii="方正仿宋_GB2312" w:hAnsi="方正仿宋_GB2312" w:eastAsia="方正仿宋_GB2312" w:cs="方正仿宋_GB2312"/>
          <w:sz w:val="28"/>
          <w:szCs w:val="28"/>
        </w:rPr>
      </w:pPr>
    </w:p>
    <w:p w14:paraId="3AEF00D7">
      <w:pPr>
        <w:outlineLvl w:val="2"/>
        <w:rPr>
          <w:rFonts w:hint="eastAsia" w:ascii="方正仿宋_GB2312" w:hAnsi="方正仿宋_GB2312" w:eastAsia="方正仿宋_GB2312" w:cs="方正仿宋_GB2312"/>
          <w:b/>
          <w:bCs/>
          <w:sz w:val="28"/>
          <w:szCs w:val="28"/>
        </w:rPr>
      </w:pPr>
      <w:bookmarkStart w:id="8" w:name="_Toc17913"/>
      <w:r>
        <w:rPr>
          <w:rFonts w:hint="eastAsia" w:ascii="方正仿宋_GB2312" w:hAnsi="方正仿宋_GB2312" w:eastAsia="方正仿宋_GB2312" w:cs="方正仿宋_GB2312"/>
          <w:b/>
          <w:bCs/>
          <w:sz w:val="28"/>
          <w:szCs w:val="28"/>
          <w:lang w:val="en-US" w:eastAsia="zh-CN"/>
        </w:rPr>
        <w:t>3、</w:t>
      </w:r>
      <w:r>
        <w:rPr>
          <w:rFonts w:hint="eastAsia" w:ascii="方正仿宋_GB2312" w:hAnsi="方正仿宋_GB2312" w:eastAsia="方正仿宋_GB2312" w:cs="方正仿宋_GB2312"/>
          <w:b/>
          <w:bCs/>
          <w:sz w:val="28"/>
          <w:szCs w:val="28"/>
        </w:rPr>
        <w:t>光量子计算</w:t>
      </w:r>
      <w:bookmarkEnd w:id="8"/>
    </w:p>
    <w:p w14:paraId="4D2AC539">
      <w:pPr>
        <w:ind w:firstLine="560" w:firstLineChars="200"/>
        <w:rPr>
          <w:rFonts w:hint="eastAsia" w:ascii="方正仿宋_GB2312" w:hAnsi="方正仿宋_GB2312" w:eastAsia="方正仿宋_GB2312" w:cs="方正仿宋_GB2312"/>
          <w:kern w:val="2"/>
          <w:sz w:val="21"/>
          <w:szCs w:val="28"/>
          <w:lang w:val="en-US" w:eastAsia="zh-CN" w:bidi="ar-SA"/>
        </w:rPr>
      </w:pPr>
      <w:r>
        <w:rPr>
          <w:rFonts w:hint="eastAsia" w:ascii="方正仿宋_GB2312" w:hAnsi="方正仿宋_GB2312" w:eastAsia="方正仿宋_GB2312" w:cs="方正仿宋_GB2312"/>
          <w:sz w:val="28"/>
          <w:szCs w:val="28"/>
        </w:rPr>
        <w:t>光量子计算利用光子的偏振、相位或路径自由度编码量子比特，通过线性光学元件和单光子探测器实现量子态操控与测量。该路线的核心优势在于光子与环境耦合极弱，相干时间理论上是无限的，且可在室温下运行，无需极低温或超高真空等严苛条件，测控系统相对简单，天然适配光纤通信网络，易于实现模块化部署和远程量子互联。光量子计算分为逻辑门型与专用型两类：逻辑门型需要实现确定性的双光子相互作用，但由于光子之间无直接相互作用，必须依赖非线性介质或概率性门操作，技术难度极大；专用型则利用玻色采样等特定量子过程，在组合优化等专用场景下展示计算优势。该路线的主要瓶颈在于光子间相互作用难以实现，构建通用双比特逻辑门存在根本性物理障碍，多光子纠缠制备具有概率性且随规模扩大效率指数下降，导致其在通用量子计算方面仍面临较大距离。</w:t>
      </w:r>
      <w:bookmarkStart w:id="13" w:name="_GoBack"/>
      <w:bookmarkEnd w:id="13"/>
    </w:p>
    <w:p w14:paraId="59B28D15">
      <w:pPr>
        <w:ind w:firstLine="420" w:firstLineChars="200"/>
        <w:rPr>
          <w:rFonts w:hint="eastAsia" w:ascii="方正仿宋_GB2312" w:hAnsi="方正仿宋_GB2312" w:eastAsia="方正仿宋_GB2312" w:cs="方正仿宋_GB2312"/>
          <w:kern w:val="2"/>
          <w:sz w:val="21"/>
          <w:szCs w:val="28"/>
          <w:lang w:val="en-US" w:eastAsia="zh-CN" w:bidi="ar-SA"/>
        </w:rPr>
      </w:pPr>
    </w:p>
    <w:p w14:paraId="76E7CFBF">
      <w:pPr>
        <w:outlineLvl w:val="0"/>
        <w:rPr>
          <w:rFonts w:hint="eastAsia" w:ascii="方正仿宋_GB2312" w:hAnsi="方正仿宋_GB2312" w:eastAsia="方正仿宋_GB2312" w:cs="方正仿宋_GB2312"/>
          <w:b/>
          <w:bCs/>
          <w:sz w:val="28"/>
          <w:szCs w:val="28"/>
        </w:rPr>
      </w:pPr>
      <w:bookmarkStart w:id="9" w:name="_Toc8299"/>
      <w:r>
        <w:rPr>
          <w:rFonts w:hint="eastAsia" w:ascii="方正仿宋_GB2312" w:hAnsi="方正仿宋_GB2312" w:eastAsia="方正仿宋_GB2312" w:cs="方正仿宋_GB2312"/>
          <w:b/>
          <w:bCs/>
          <w:sz w:val="28"/>
          <w:szCs w:val="28"/>
        </w:rPr>
        <w:t>二、通用量子计算机与专用量子计算机</w:t>
      </w:r>
      <w:bookmarkEnd w:id="9"/>
    </w:p>
    <w:p w14:paraId="6E5D4FAA">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根据计算能力的适用范围，量子计算机可分为通用量子计算机、专用量子计算机和量子退火机三类。三者在技术目标、应用场景和成熟度方面存在显著差异，共同构成量子计算从专用到通用的渐进发展路径。</w:t>
      </w:r>
    </w:p>
    <w:p w14:paraId="6CB3EF91">
      <w:pPr>
        <w:rPr>
          <w:rFonts w:hint="eastAsia" w:ascii="方正仿宋_GB2312" w:hAnsi="方正仿宋_GB2312" w:eastAsia="方正仿宋_GB2312" w:cs="方正仿宋_GB2312"/>
          <w:sz w:val="28"/>
          <w:szCs w:val="28"/>
        </w:rPr>
      </w:pPr>
    </w:p>
    <w:p w14:paraId="3D6BE35B">
      <w:pPr>
        <w:outlineLvl w:val="1"/>
        <w:rPr>
          <w:rFonts w:hint="eastAsia" w:ascii="方正仿宋_GB2312" w:hAnsi="方正仿宋_GB2312" w:eastAsia="方正仿宋_GB2312" w:cs="方正仿宋_GB2312"/>
          <w:b/>
          <w:bCs/>
          <w:sz w:val="28"/>
          <w:szCs w:val="28"/>
        </w:rPr>
      </w:pPr>
      <w:bookmarkStart w:id="10" w:name="_Toc26663"/>
      <w:r>
        <w:rPr>
          <w:rFonts w:hint="eastAsia" w:ascii="方正仿宋_GB2312" w:hAnsi="方正仿宋_GB2312" w:eastAsia="方正仿宋_GB2312" w:cs="方正仿宋_GB2312"/>
          <w:b/>
          <w:bCs/>
          <w:sz w:val="28"/>
          <w:szCs w:val="28"/>
        </w:rPr>
        <w:t>（一）通用量子计算机</w:t>
      </w:r>
      <w:bookmarkEnd w:id="10"/>
    </w:p>
    <w:p w14:paraId="6D11ADC3">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通用量子计算机是指能够执行任意量子算法、图灵完备的量子计算系统，理论上可运行各类量子程序，是解决复杂科学问题和商业优化任务的终极形态。通用机的核心指标是量子比特的数量与质量，包括比特数、门保真度、相干时间和连通性等，其技术难点在于构建大规模、低噪声、可纠错的量子处理器。当前，超导和离子阱是通用量子计算的两条主要技术路线：超导路线凭借与半导体工艺的兼容性和高操控速度，在比特数量上暂时领先，但相干时间短和纠错难度高仍是关键瓶颈；离子阱路线以极高的门保真度和长相干时间著称，但在大规模扩展方面面临挑战。当前通用量子计算机正从物理比特时代向纠错逻辑比特时代迈进，然而距离实现大规模可容错计算仍有较大差距，预计需至本年代末才能出现具备商业应用价值的容错通用量子计算机。</w:t>
      </w:r>
    </w:p>
    <w:p w14:paraId="4B119D93">
      <w:pPr>
        <w:rPr>
          <w:rFonts w:hint="eastAsia" w:ascii="方正仿宋_GB2312" w:hAnsi="方正仿宋_GB2312" w:eastAsia="方正仿宋_GB2312" w:cs="方正仿宋_GB2312"/>
          <w:sz w:val="28"/>
          <w:szCs w:val="28"/>
        </w:rPr>
      </w:pPr>
    </w:p>
    <w:p w14:paraId="6BAC379E">
      <w:pPr>
        <w:outlineLvl w:val="1"/>
        <w:rPr>
          <w:rFonts w:hint="eastAsia" w:ascii="方正仿宋_GB2312" w:hAnsi="方正仿宋_GB2312" w:eastAsia="方正仿宋_GB2312" w:cs="方正仿宋_GB2312"/>
          <w:b/>
          <w:bCs/>
          <w:sz w:val="28"/>
          <w:szCs w:val="28"/>
        </w:rPr>
      </w:pPr>
      <w:bookmarkStart w:id="11" w:name="_Toc28783"/>
      <w:r>
        <w:rPr>
          <w:rFonts w:hint="eastAsia" w:ascii="方正仿宋_GB2312" w:hAnsi="方正仿宋_GB2312" w:eastAsia="方正仿宋_GB2312" w:cs="方正仿宋_GB2312"/>
          <w:b/>
          <w:bCs/>
          <w:sz w:val="28"/>
          <w:szCs w:val="28"/>
        </w:rPr>
        <w:t>（二）专用量子计算机</w:t>
      </w:r>
      <w:bookmarkEnd w:id="11"/>
    </w:p>
    <w:p w14:paraId="5379A4DB">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专用量子计算机是针对特定问题或特定算法优化的量子计算系统，其硬件架构和量子线路为特定任务量身定制，无法运行通用量子算法，但在特定领域可实现超越经典计算机的计算能力。专用机的优势在于无需构建通用门操作全集，可绕过部分技术瓶颈，通过专用物理过程直接实现计算，从而在当前量子比特数量有限、噪声较高的条件下展示量子优越性。典型代表包括光量子路线的玻色采样机和相干伊辛机，前者利用光子玻色统计特性在特定采样问题上实现指数级加速，后者利用光子的连续变量特性求解组合优化问题。专用机的价值在于可在中短期内为材料设计、金融优化、人工智能等领域提供量子增强能力，但其应用范围受限于特定算法，不具备图灵完备性，无法替代通用量子计算机的战略地位。</w:t>
      </w:r>
    </w:p>
    <w:p w14:paraId="1CD103CA">
      <w:pPr>
        <w:rPr>
          <w:rFonts w:hint="eastAsia" w:ascii="方正仿宋_GB2312" w:hAnsi="方正仿宋_GB2312" w:eastAsia="方正仿宋_GB2312" w:cs="方正仿宋_GB2312"/>
          <w:sz w:val="28"/>
          <w:szCs w:val="28"/>
        </w:rPr>
      </w:pPr>
    </w:p>
    <w:p w14:paraId="56858F7B">
      <w:pPr>
        <w:outlineLvl w:val="1"/>
        <w:rPr>
          <w:rFonts w:hint="eastAsia" w:ascii="方正仿宋_GB2312" w:hAnsi="方正仿宋_GB2312" w:eastAsia="方正仿宋_GB2312" w:cs="方正仿宋_GB2312"/>
          <w:b/>
          <w:bCs/>
          <w:sz w:val="28"/>
          <w:szCs w:val="28"/>
        </w:rPr>
      </w:pPr>
      <w:bookmarkStart w:id="12" w:name="_Toc19219"/>
      <w:r>
        <w:rPr>
          <w:rFonts w:hint="eastAsia" w:ascii="方正仿宋_GB2312" w:hAnsi="方正仿宋_GB2312" w:eastAsia="方正仿宋_GB2312" w:cs="方正仿宋_GB2312"/>
          <w:b/>
          <w:bCs/>
          <w:sz w:val="28"/>
          <w:szCs w:val="28"/>
        </w:rPr>
        <w:t>（三）量子退火机</w:t>
      </w:r>
      <w:bookmarkEnd w:id="12"/>
    </w:p>
    <w:p w14:paraId="530DEEDC">
      <w:pPr>
        <w:ind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量子退火机是一种利用量子隧穿效应和量子涨落寻找组合优化问题基态的专用量子计算设备，其物理实现通常基于超导量子比特阵列，通过缓慢降低横向磁场强度使系统从量子叠加态退火至经典基态，从而找到问题的最优或近似最优解。与通用量子计算机的门操作模型不同，量子退火机采用绝热量子计算模型，天然适配旅行商问题、蛋白质折叠、投资组合优化等组合优化任务。量子退火机的优势在于比特数量多、系统稳定性高、可即插即用解决特定类型问题，已在物流优化、药物筛选、金融风控等领域开展商业应用；其局限在于仅能处理特定形式的优化问题，不具备通用编程能力，且量子效应与经典退火算法的边界尚存在学术争议。量子退火机作为量子计算商业化的先行者，为量子算法的实际应用提供了早期验证平台，但其技术路径与通用量子计算存在本质区别，未来更可能作为混合计算架构中的专用加速模块，与通用量子计算机和经典高性能计算机协同工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1" w:fontKey="{27E34EFD-2229-4C88-9D36-84E33F38F996}"/>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C055AB"/>
    <w:rsid w:val="38427294"/>
    <w:rsid w:val="41624FFD"/>
    <w:rsid w:val="5A904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uiPriority w:val="0"/>
  </w:style>
  <w:style w:type="paragraph" w:styleId="4">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3633</Words>
  <Characters>3634</Characters>
  <Lines>0</Lines>
  <Paragraphs>0</Paragraphs>
  <TotalTime>0</TotalTime>
  <ScaleCrop>false</ScaleCrop>
  <LinksUpToDate>false</LinksUpToDate>
  <CharactersWithSpaces>3647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2026-05-18T08:48:00Z</dcterms:created>
  <dc:creator>lenovo</dc:creator>
  <cp:lastModifiedBy>神秘人</cp:lastModifiedBy>
  <dcterms:modified xsi:type="dcterms:W3CDTF">2026-05-18T08:58:31Z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eyJoZGlkIjoiYmU4YWMwNTgxMThkMGQ4NWQ5OTJlZGVjNjg2YmY3ZjEiLCJ1c2VySWQiOiIxMjQyMTk5MjYwIn0=</vt:lpwstr>
  </property>
  <property fmtid="{D5CDD505-2E9C-101B-9397-08002B2CF9AE}" pid="4" name="ICV">
    <vt:lpwstr>24D8D63B6B38443C88DD4B0E70A4ECAB_13</vt:lpwstr>
  </property>
</Properties>
</file>