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lnisie1ljulk" w:id="0"/>
      <w:bookmarkEnd w:id="0"/>
      <w:r w:rsidDel="00000000" w:rsidR="00000000" w:rsidRPr="00000000">
        <w:rPr>
          <w:rFonts w:ascii="Times New Roman" w:cs="Times New Roman" w:eastAsia="Times New Roman" w:hAnsi="Times New Roman"/>
          <w:rtl w:val="0"/>
        </w:rPr>
        <w:t xml:space="preserve">Kinematics Analysis Operators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Began looking at a subset of the data including the operators that have lead and rampart cases. I was going to assess the same kinematics values data as before. Looking at the averages of the data primarily.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hz05sv4tvfr7" w:id="1"/>
      <w:bookmarkEnd w:id="1"/>
      <w:r w:rsidDel="00000000" w:rsidR="00000000" w:rsidRPr="00000000">
        <w:rPr>
          <w:rFonts w:ascii="Times New Roman" w:cs="Times New Roman" w:eastAsia="Times New Roman" w:hAnsi="Times New Roman"/>
          <w:rtl w:val="0"/>
        </w:rPr>
        <w:t xml:space="preserve">Average Maximum Degrees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drawing>
          <wp:inline distB="114300" distT="114300" distL="114300" distR="114300">
            <wp:extent cx="5943600" cy="4000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drawing>
          <wp:inline distB="114300" distT="114300" distL="114300" distR="114300">
            <wp:extent cx="5943600" cy="3987800"/>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bookmarkStart w:colFirst="0" w:colLast="0" w:name="_fsibw6x3lqh5" w:id="2"/>
      <w:bookmarkEnd w:id="2"/>
      <w:r w:rsidDel="00000000" w:rsidR="00000000" w:rsidRPr="00000000">
        <w:rPr>
          <w:rFonts w:ascii="Times New Roman" w:cs="Times New Roman" w:eastAsia="Times New Roman" w:hAnsi="Times New Roman"/>
          <w:rtl w:val="0"/>
        </w:rPr>
        <w:t xml:space="preserve">Average Minimum Degrees</w:t>
      </w:r>
    </w:p>
    <w:p w:rsidR="00000000" w:rsidDel="00000000" w:rsidP="00000000" w:rsidRDefault="00000000" w:rsidRPr="00000000" w14:paraId="00000009">
      <w:pPr>
        <w:numPr>
          <w:ilvl w:val="0"/>
          <w:numId w:val="4"/>
        </w:numPr>
        <w:ind w:left="720" w:hanging="360"/>
        <w:rPr>
          <w:u w:val="none"/>
        </w:rPr>
      </w:pPr>
      <w:r w:rsidDel="00000000" w:rsidR="00000000" w:rsidRPr="00000000">
        <w:rPr/>
        <w:drawing>
          <wp:inline distB="114300" distT="114300" distL="114300" distR="114300">
            <wp:extent cx="5943600" cy="3962400"/>
            <wp:effectExtent b="0" l="0" r="0" t="0"/>
            <wp:docPr id="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drawing>
          <wp:inline distB="114300" distT="114300" distL="114300" distR="114300">
            <wp:extent cx="5943600" cy="3987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rPr>
      </w:pPr>
      <w:bookmarkStart w:colFirst="0" w:colLast="0" w:name="_7shhogdamve7" w:id="3"/>
      <w:bookmarkEnd w:id="3"/>
      <w:r w:rsidDel="00000000" w:rsidR="00000000" w:rsidRPr="00000000">
        <w:rPr>
          <w:rFonts w:ascii="Times New Roman" w:cs="Times New Roman" w:eastAsia="Times New Roman" w:hAnsi="Times New Roman"/>
          <w:rtl w:val="0"/>
        </w:rPr>
        <w:t xml:space="preserve">Average Range Degrees</w:t>
      </w:r>
    </w:p>
    <w:p w:rsidR="00000000" w:rsidDel="00000000" w:rsidP="00000000" w:rsidRDefault="00000000" w:rsidRPr="00000000" w14:paraId="0000000C">
      <w:pPr>
        <w:numPr>
          <w:ilvl w:val="0"/>
          <w:numId w:val="5"/>
        </w:numPr>
        <w:ind w:left="720" w:hanging="360"/>
        <w:rPr>
          <w:u w:val="none"/>
        </w:rPr>
      </w:pPr>
      <w:r w:rsidDel="00000000" w:rsidR="00000000" w:rsidRPr="00000000">
        <w:rPr/>
        <w:drawing>
          <wp:inline distB="114300" distT="114300" distL="114300" distR="114300">
            <wp:extent cx="5943600" cy="39751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drawing>
          <wp:inline distB="114300" distT="114300" distL="114300" distR="114300">
            <wp:extent cx="5943600" cy="39878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rPr>
      </w:pPr>
      <w:bookmarkStart w:colFirst="0" w:colLast="0" w:name="_2smd5lfql590" w:id="4"/>
      <w:bookmarkEnd w:id="4"/>
      <w:r w:rsidDel="00000000" w:rsidR="00000000" w:rsidRPr="00000000">
        <w:rPr>
          <w:rFonts w:ascii="Times New Roman" w:cs="Times New Roman" w:eastAsia="Times New Roman" w:hAnsi="Times New Roman"/>
          <w:rtl w:val="0"/>
        </w:rPr>
        <w:t xml:space="preserve">20 Degrees Threshold</w:t>
      </w:r>
    </w:p>
    <w:p w:rsidR="00000000" w:rsidDel="00000000" w:rsidP="00000000" w:rsidRDefault="00000000" w:rsidRPr="00000000" w14:paraId="0000000F">
      <w:pPr>
        <w:numPr>
          <w:ilvl w:val="0"/>
          <w:numId w:val="1"/>
        </w:numPr>
        <w:ind w:left="720" w:hanging="360"/>
        <w:rPr>
          <w:u w:val="none"/>
        </w:rPr>
      </w:pPr>
      <w:r w:rsidDel="00000000" w:rsidR="00000000" w:rsidRPr="00000000">
        <w:rPr/>
        <w:drawing>
          <wp:inline distB="114300" distT="114300" distL="114300" distR="114300">
            <wp:extent cx="5943600" cy="4229100"/>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drawing>
          <wp:inline distB="114300" distT="114300" distL="114300" distR="114300">
            <wp:extent cx="5943600" cy="4229100"/>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drawing>
          <wp:inline distB="114300" distT="114300" distL="114300" distR="114300">
            <wp:extent cx="5943600" cy="42672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drawing>
          <wp:inline distB="114300" distT="114300" distL="114300" distR="114300">
            <wp:extent cx="5943600" cy="4267200"/>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i1wbfehl18so" w:id="5"/>
      <w:bookmarkEnd w:id="5"/>
      <w:r w:rsidDel="00000000" w:rsidR="00000000" w:rsidRPr="00000000">
        <w:rPr>
          <w:rFonts w:ascii="Times New Roman" w:cs="Times New Roman" w:eastAsia="Times New Roman" w:hAnsi="Times New Roman"/>
          <w:rtl w:val="0"/>
        </w:rPr>
        <w:t xml:space="preserve">60 Degree Threshold</w:t>
      </w:r>
    </w:p>
    <w:p w:rsidR="00000000" w:rsidDel="00000000" w:rsidP="00000000" w:rsidRDefault="00000000" w:rsidRPr="00000000" w14:paraId="00000014">
      <w:pPr>
        <w:numPr>
          <w:ilvl w:val="0"/>
          <w:numId w:val="6"/>
        </w:numPr>
        <w:ind w:left="720" w:hanging="360"/>
        <w:rPr>
          <w:u w:val="none"/>
        </w:rPr>
      </w:pPr>
      <w:r w:rsidDel="00000000" w:rsidR="00000000" w:rsidRPr="00000000">
        <w:rPr/>
        <w:drawing>
          <wp:inline distB="114300" distT="114300" distL="114300" distR="114300">
            <wp:extent cx="5943600" cy="42291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6"/>
        </w:numPr>
        <w:ind w:left="720" w:hanging="360"/>
        <w:rPr>
          <w:u w:val="none"/>
        </w:rPr>
      </w:pPr>
      <w:r w:rsidDel="00000000" w:rsidR="00000000" w:rsidRPr="00000000">
        <w:rPr/>
        <w:drawing>
          <wp:inline distB="114300" distT="114300" distL="114300" distR="114300">
            <wp:extent cx="5943600" cy="42291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drawing>
          <wp:inline distB="114300" distT="114300" distL="114300" distR="114300">
            <wp:extent cx="5943600" cy="426720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drawing>
          <wp:inline distB="114300" distT="114300" distL="114300" distR="114300">
            <wp:extent cx="5943600" cy="4267200"/>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rPr>
      </w:pPr>
      <w:bookmarkStart w:colFirst="0" w:colLast="0" w:name="_dy71oglqarot" w:id="6"/>
      <w:bookmarkEnd w:id="6"/>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1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Subjects in most cases went into moderate-high risk thresholds of degrees. We don’t know how long that is from the kinematics data, but we at least know that they experienced that at some point. The duration of those cases will be more important and can be seen in the joint angles analysis.</w:t>
      </w:r>
    </w:p>
    <w:p w:rsidR="00000000" w:rsidDel="00000000" w:rsidP="00000000" w:rsidRDefault="00000000" w:rsidRPr="00000000" w14:paraId="0000001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Generally, subjects in most cases didn’t experience degrees greater than 60 of normal position. That is good and expected given that the activity is not too strenuous or stretching the joints.</w:t>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Zembower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3.png"/><Relationship Id="rId18"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