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D7307" w14:textId="77777777" w:rsidR="001B44B6" w:rsidRPr="006F2988" w:rsidRDefault="001B44B6" w:rsidP="001B44B6">
      <w:pPr>
        <w:widowControl w:val="0"/>
        <w:tabs>
          <w:tab w:val="center" w:pos="4680"/>
        </w:tabs>
        <w:autoSpaceDE w:val="0"/>
        <w:autoSpaceDN w:val="0"/>
        <w:adjustRightInd w:val="0"/>
        <w:spacing w:line="240" w:lineRule="auto"/>
        <w:jc w:val="center"/>
        <w:rPr>
          <w:b/>
          <w:szCs w:val="24"/>
        </w:rPr>
      </w:pPr>
      <w:r w:rsidRPr="006F2988">
        <w:rPr>
          <w:b/>
          <w:szCs w:val="24"/>
        </w:rPr>
        <w:t>IN THE COUNTY COURT OF THE THIRTEENTH JUDICIAL CIRCUIT</w:t>
      </w:r>
    </w:p>
    <w:p w14:paraId="7E229554" w14:textId="77777777" w:rsidR="001B44B6" w:rsidRPr="006F2988" w:rsidRDefault="001B44B6" w:rsidP="001B44B6">
      <w:pPr>
        <w:widowControl w:val="0"/>
        <w:tabs>
          <w:tab w:val="center" w:pos="4680"/>
        </w:tabs>
        <w:autoSpaceDE w:val="0"/>
        <w:autoSpaceDN w:val="0"/>
        <w:adjustRightInd w:val="0"/>
        <w:spacing w:line="240" w:lineRule="auto"/>
        <w:jc w:val="center"/>
        <w:rPr>
          <w:b/>
          <w:szCs w:val="24"/>
        </w:rPr>
      </w:pPr>
      <w:r w:rsidRPr="006F2988">
        <w:rPr>
          <w:b/>
          <w:szCs w:val="24"/>
        </w:rPr>
        <w:t>IN AND FOR HILLSBOROUGH COUNTY, STATE OF FLORIDA</w:t>
      </w:r>
    </w:p>
    <w:p w14:paraId="0FC7A3CA" w14:textId="77777777" w:rsidR="001B44B6" w:rsidRPr="006F2988" w:rsidRDefault="001B44B6" w:rsidP="001B44B6">
      <w:pPr>
        <w:widowControl w:val="0"/>
        <w:tabs>
          <w:tab w:val="center" w:pos="4680"/>
        </w:tabs>
        <w:autoSpaceDE w:val="0"/>
        <w:autoSpaceDN w:val="0"/>
        <w:adjustRightInd w:val="0"/>
        <w:spacing w:line="240" w:lineRule="auto"/>
        <w:jc w:val="center"/>
        <w:rPr>
          <w:b/>
          <w:szCs w:val="24"/>
        </w:rPr>
      </w:pPr>
      <w:r w:rsidRPr="006F2988">
        <w:rPr>
          <w:b/>
          <w:szCs w:val="24"/>
        </w:rPr>
        <w:t>SMALL CLAIMS DIVISION</w:t>
      </w:r>
    </w:p>
    <w:p w14:paraId="78E341FD" w14:textId="77777777" w:rsidR="001B44B6" w:rsidRPr="006F2988" w:rsidRDefault="001B44B6" w:rsidP="001B44B6">
      <w:pPr>
        <w:widowControl w:val="0"/>
        <w:autoSpaceDE w:val="0"/>
        <w:autoSpaceDN w:val="0"/>
        <w:adjustRightInd w:val="0"/>
        <w:spacing w:line="240" w:lineRule="auto"/>
        <w:rPr>
          <w:szCs w:val="24"/>
        </w:rPr>
      </w:pPr>
    </w:p>
    <w:p w14:paraId="41677D4C" w14:textId="77777777" w:rsidR="001B44B6" w:rsidRDefault="00372E66" w:rsidP="001B44B6">
      <w:pPr>
        <w:widowControl w:val="0"/>
        <w:autoSpaceDE w:val="0"/>
        <w:autoSpaceDN w:val="0"/>
        <w:adjustRightInd w:val="0"/>
        <w:spacing w:line="240" w:lineRule="auto"/>
        <w:rPr>
          <w:b/>
          <w:szCs w:val="24"/>
        </w:rPr>
      </w:pPr>
      <w:r>
        <w:rPr>
          <w:b/>
          <w:szCs w:val="24"/>
        </w:rPr>
        <w:t xml:space="preserve">PRESTON BLAIR</w:t>
      </w:r>
      <w:r w:rsidR="001B44B6">
        <w:rPr>
          <w:b/>
          <w:szCs w:val="24"/>
        </w:rPr>
        <w:t>,</w:t>
      </w:r>
    </w:p>
    <w:p w14:paraId="3A3EA626" w14:textId="77777777" w:rsidR="001B44B6" w:rsidRPr="006F2988" w:rsidRDefault="001B44B6" w:rsidP="001B44B6">
      <w:pPr>
        <w:widowControl w:val="0"/>
        <w:autoSpaceDE w:val="0"/>
        <w:autoSpaceDN w:val="0"/>
        <w:adjustRightInd w:val="0"/>
        <w:spacing w:line="240" w:lineRule="auto"/>
        <w:rPr>
          <w:szCs w:val="24"/>
        </w:rPr>
      </w:pPr>
    </w:p>
    <w:p w14:paraId="1078DBF8" w14:textId="77777777" w:rsidR="001B44B6" w:rsidRPr="006F2988" w:rsidRDefault="001B44B6" w:rsidP="001B44B6">
      <w:pPr>
        <w:widowControl w:val="0"/>
        <w:autoSpaceDE w:val="0"/>
        <w:autoSpaceDN w:val="0"/>
        <w:adjustRightInd w:val="0"/>
        <w:spacing w:line="240" w:lineRule="auto"/>
        <w:ind w:firstLine="1440"/>
        <w:rPr>
          <w:szCs w:val="24"/>
        </w:rPr>
      </w:pPr>
      <w:r w:rsidRPr="006F2988">
        <w:rPr>
          <w:szCs w:val="24"/>
        </w:rPr>
        <w:t>Plaintiff,</w:t>
      </w:r>
    </w:p>
    <w:p w14:paraId="079B7C9C" w14:textId="5BD19DBB" w:rsidR="001B44B6" w:rsidRPr="006F2988" w:rsidRDefault="001B44B6" w:rsidP="00183865">
      <w:pPr>
        <w:widowControl w:val="0"/>
        <w:tabs>
          <w:tab w:val="left" w:pos="-1440"/>
        </w:tabs>
        <w:autoSpaceDE w:val="0"/>
        <w:autoSpaceDN w:val="0"/>
        <w:adjustRightInd w:val="0"/>
        <w:spacing w:line="240" w:lineRule="auto"/>
        <w:jc w:val="left"/>
        <w:rPr>
          <w:b/>
          <w:szCs w:val="24"/>
        </w:rPr>
      </w:pPr>
      <w:r>
        <w:rPr>
          <w:b/>
          <w:szCs w:val="24"/>
        </w:rPr>
        <w:tab/>
      </w:r>
      <w:r>
        <w:rPr>
          <w:b/>
          <w:szCs w:val="24"/>
        </w:rPr>
        <w:tab/>
      </w:r>
      <w:r>
        <w:rPr>
          <w:b/>
          <w:szCs w:val="24"/>
        </w:rPr>
        <w:tab/>
      </w:r>
      <w:r>
        <w:rPr>
          <w:b/>
          <w:szCs w:val="24"/>
        </w:rPr>
        <w:tab/>
      </w:r>
      <w:r>
        <w:rPr>
          <w:b/>
          <w:szCs w:val="24"/>
        </w:rPr>
        <w:tab/>
      </w:r>
      <w:r>
        <w:rPr>
          <w:b/>
          <w:szCs w:val="24"/>
        </w:rPr>
        <w:tab/>
      </w:r>
      <w:r>
        <w:rPr>
          <w:b/>
          <w:szCs w:val="24"/>
        </w:rPr>
        <w:tab/>
      </w:r>
      <w:r w:rsidR="00372E66">
        <w:rPr>
          <w:b/>
          <w:szCs w:val="24"/>
        </w:rPr>
        <w:t xml:space="preserve">CASE NO.: </w:t>
      </w:r>
      <w:r w:rsidR="00A46512">
        <w:rPr>
          <w:b/>
          <w:szCs w:val="24"/>
        </w:rPr>
        <w:t xml:space="preserve">`1234567896322345678</w:t>
      </w:r>
    </w:p>
    <w:p w14:paraId="73081308" w14:textId="77777777" w:rsidR="001B44B6" w:rsidRPr="006F2988" w:rsidRDefault="001B44B6" w:rsidP="001B44B6">
      <w:pPr>
        <w:widowControl w:val="0"/>
        <w:autoSpaceDE w:val="0"/>
        <w:autoSpaceDN w:val="0"/>
        <w:adjustRightInd w:val="0"/>
        <w:spacing w:line="240" w:lineRule="auto"/>
        <w:rPr>
          <w:b/>
          <w:szCs w:val="24"/>
        </w:rPr>
      </w:pPr>
      <w:r>
        <w:rPr>
          <w:b/>
          <w:szCs w:val="24"/>
        </w:rPr>
        <w:t>vs.</w:t>
      </w:r>
      <w:r>
        <w:rPr>
          <w:b/>
          <w:szCs w:val="24"/>
        </w:rPr>
        <w:tab/>
      </w:r>
      <w:r>
        <w:rPr>
          <w:b/>
          <w:szCs w:val="24"/>
        </w:rPr>
        <w:tab/>
      </w:r>
      <w:r>
        <w:rPr>
          <w:b/>
          <w:szCs w:val="24"/>
        </w:rPr>
        <w:tab/>
      </w:r>
      <w:r>
        <w:rPr>
          <w:b/>
          <w:szCs w:val="24"/>
        </w:rPr>
        <w:tab/>
      </w:r>
      <w:r>
        <w:rPr>
          <w:b/>
          <w:szCs w:val="24"/>
        </w:rPr>
        <w:tab/>
      </w:r>
      <w:r>
        <w:rPr>
          <w:b/>
          <w:szCs w:val="24"/>
        </w:rPr>
        <w:tab/>
      </w:r>
      <w:r>
        <w:rPr>
          <w:b/>
          <w:szCs w:val="24"/>
        </w:rPr>
        <w:tab/>
      </w:r>
    </w:p>
    <w:p w14:paraId="17CF1A1D" w14:textId="77777777" w:rsidR="001B44B6" w:rsidRPr="006F2988" w:rsidRDefault="001B44B6" w:rsidP="001B44B6">
      <w:pPr>
        <w:widowControl w:val="0"/>
        <w:autoSpaceDE w:val="0"/>
        <w:autoSpaceDN w:val="0"/>
        <w:adjustRightInd w:val="0"/>
        <w:spacing w:line="240" w:lineRule="auto"/>
        <w:rPr>
          <w:szCs w:val="24"/>
        </w:rPr>
      </w:pPr>
    </w:p>
    <w:p w14:paraId="7F2975EA" w14:textId="77777777" w:rsidR="001B44B6" w:rsidRDefault="00372E66" w:rsidP="001B44B6">
      <w:pPr>
        <w:widowControl w:val="0"/>
        <w:autoSpaceDE w:val="0"/>
        <w:autoSpaceDN w:val="0"/>
        <w:adjustRightInd w:val="0"/>
        <w:spacing w:line="240" w:lineRule="auto"/>
        <w:rPr>
          <w:b/>
          <w:szCs w:val="24"/>
        </w:rPr>
      </w:pPr>
      <w:r>
        <w:rPr>
          <w:b/>
          <w:szCs w:val="24"/>
        </w:rPr>
        <w:t xml:space="preserve">JOHN DOE</w:t>
      </w:r>
      <w:r w:rsidR="001B44B6">
        <w:rPr>
          <w:b/>
          <w:szCs w:val="24"/>
        </w:rPr>
        <w:t>,</w:t>
      </w:r>
    </w:p>
    <w:p w14:paraId="749D98BA" w14:textId="77777777" w:rsidR="001B44B6" w:rsidRPr="006F2988" w:rsidRDefault="001B44B6" w:rsidP="001B44B6">
      <w:pPr>
        <w:widowControl w:val="0"/>
        <w:autoSpaceDE w:val="0"/>
        <w:autoSpaceDN w:val="0"/>
        <w:adjustRightInd w:val="0"/>
        <w:spacing w:line="240" w:lineRule="auto"/>
        <w:rPr>
          <w:szCs w:val="24"/>
        </w:rPr>
      </w:pPr>
    </w:p>
    <w:p w14:paraId="5CF90830" w14:textId="77777777" w:rsidR="001B44B6" w:rsidRPr="006F2988" w:rsidRDefault="001B44B6" w:rsidP="001B44B6">
      <w:pPr>
        <w:widowControl w:val="0"/>
        <w:autoSpaceDE w:val="0"/>
        <w:autoSpaceDN w:val="0"/>
        <w:adjustRightInd w:val="0"/>
        <w:spacing w:line="240" w:lineRule="auto"/>
        <w:ind w:firstLine="1440"/>
        <w:rPr>
          <w:szCs w:val="24"/>
        </w:rPr>
      </w:pPr>
      <w:r w:rsidRPr="006F2988">
        <w:rPr>
          <w:szCs w:val="24"/>
        </w:rPr>
        <w:t>Defendant.</w:t>
      </w:r>
    </w:p>
    <w:p w14:paraId="58BBF393" w14:textId="77777777" w:rsidR="001B44B6" w:rsidRPr="006F2988" w:rsidRDefault="001B44B6" w:rsidP="001B44B6">
      <w:pPr>
        <w:widowControl w:val="0"/>
        <w:autoSpaceDE w:val="0"/>
        <w:autoSpaceDN w:val="0"/>
        <w:adjustRightInd w:val="0"/>
        <w:spacing w:line="240" w:lineRule="auto"/>
        <w:rPr>
          <w:szCs w:val="24"/>
        </w:rPr>
      </w:pPr>
      <w:r w:rsidRPr="006F2988">
        <w:rPr>
          <w:szCs w:val="24"/>
        </w:rPr>
        <w:t>_____________________________/</w:t>
      </w:r>
    </w:p>
    <w:p w14:paraId="3D7C3BF3" w14:textId="77777777" w:rsidR="001B44B6" w:rsidRPr="00FD5870" w:rsidRDefault="001B44B6" w:rsidP="001B44B6">
      <w:pPr>
        <w:widowControl w:val="0"/>
        <w:tabs>
          <w:tab w:val="left" w:pos="720"/>
        </w:tabs>
        <w:spacing w:line="240" w:lineRule="auto"/>
        <w:ind w:left="810" w:hanging="810"/>
        <w:rPr>
          <w:rFonts w:eastAsia="Calibri"/>
          <w:b/>
          <w:szCs w:val="24"/>
        </w:rPr>
      </w:pPr>
    </w:p>
    <w:p w14:paraId="6214A22E" w14:textId="77777777" w:rsidR="001B44B6" w:rsidRDefault="001B44B6" w:rsidP="001B44B6">
      <w:pPr>
        <w:spacing w:line="276" w:lineRule="exact"/>
        <w:jc w:val="center"/>
        <w:rPr>
          <w:szCs w:val="24"/>
        </w:rPr>
      </w:pPr>
      <w:r>
        <w:rPr>
          <w:b/>
          <w:bCs/>
          <w:spacing w:val="-14"/>
          <w:szCs w:val="24"/>
          <w:u w:val="single"/>
        </w:rPr>
        <w:t>MOTION TO CONSOLIDATE AND TRANSFER RELATED CASES</w:t>
      </w:r>
      <w:r>
        <w:rPr>
          <w:b/>
          <w:bCs/>
          <w:spacing w:val="-14"/>
          <w:szCs w:val="24"/>
        </w:rPr>
        <w:br/>
      </w:r>
    </w:p>
    <w:p w14:paraId="4C9EB4CC" w14:textId="77777777" w:rsidR="001B44B6" w:rsidRDefault="001B44B6" w:rsidP="001B44B6">
      <w:pPr>
        <w:widowControl w:val="0"/>
        <w:ind w:firstLine="720"/>
        <w:rPr>
          <w:szCs w:val="24"/>
        </w:rPr>
      </w:pPr>
      <w:r>
        <w:rPr>
          <w:szCs w:val="24"/>
        </w:rPr>
        <w:t>Pursuant to Hillsborough County, County Civil Division Administrative Order S-2017-017(11), the above-styled Plaintiff hereby moves on the following grounds to consolidate related County Court cases:</w:t>
      </w:r>
    </w:p>
    <w:p w14:paraId="7F8ADA23" w14:textId="77777777" w:rsidR="001B44B6" w:rsidRDefault="001B44B6" w:rsidP="001B44B6">
      <w:pPr>
        <w:widowControl w:val="0"/>
        <w:numPr>
          <w:ilvl w:val="0"/>
          <w:numId w:val="2"/>
        </w:numPr>
        <w:ind w:left="0" w:firstLine="720"/>
        <w:rPr>
          <w:szCs w:val="24"/>
        </w:rPr>
      </w:pPr>
      <w:r>
        <w:rPr>
          <w:szCs w:val="24"/>
        </w:rPr>
        <w:t xml:space="preserve">As presently pled, the following cases concern unpaid personal injury protection (“PIP”) benefits and/or Medical Payments coverage, interest, and penalty and postage on overdue PIP benefits. These cases each involve the same insured patient, the same Defendant insurer, same date of loss, and nonpayment and/or underpayment of PIP benefits and/or Medical Payments coverage to the Plaintiff Healthcare Provider: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2538"/>
        <w:gridCol w:w="1800"/>
        <w:gridCol w:w="2250"/>
      </w:tblGrid>
      <w:tr w:rsidR="001B44B6" w:rsidRPr="009C232A" w14:paraId="68B0D864" w14:textId="77777777" w:rsidTr="006229EB">
        <w:tc>
          <w:tcPr>
            <w:tcW w:w="2880" w:type="dxa"/>
            <w:shd w:val="clear" w:color="auto" w:fill="auto"/>
          </w:tcPr>
          <w:p w14:paraId="0CDF5D5D" w14:textId="77777777" w:rsidR="001B44B6" w:rsidRPr="009C232A" w:rsidRDefault="001B44B6" w:rsidP="006229EB">
            <w:pPr>
              <w:widowControl w:val="0"/>
              <w:rPr>
                <w:b/>
                <w:szCs w:val="24"/>
              </w:rPr>
            </w:pPr>
            <w:r w:rsidRPr="009C232A">
              <w:rPr>
                <w:b/>
                <w:szCs w:val="24"/>
              </w:rPr>
              <w:t>Plaintiff</w:t>
            </w:r>
          </w:p>
        </w:tc>
        <w:tc>
          <w:tcPr>
            <w:tcW w:w="2538" w:type="dxa"/>
            <w:shd w:val="clear" w:color="auto" w:fill="auto"/>
          </w:tcPr>
          <w:p w14:paraId="700D7AF2" w14:textId="77777777" w:rsidR="001B44B6" w:rsidRPr="009C232A" w:rsidRDefault="001B44B6" w:rsidP="006229EB">
            <w:pPr>
              <w:widowControl w:val="0"/>
              <w:tabs>
                <w:tab w:val="left" w:pos="5797"/>
              </w:tabs>
              <w:rPr>
                <w:b/>
                <w:szCs w:val="24"/>
              </w:rPr>
            </w:pPr>
            <w:r w:rsidRPr="009C232A">
              <w:rPr>
                <w:b/>
                <w:szCs w:val="24"/>
              </w:rPr>
              <w:t>Defendant</w:t>
            </w:r>
            <w:r>
              <w:rPr>
                <w:b/>
                <w:szCs w:val="24"/>
              </w:rPr>
              <w:tab/>
            </w:r>
          </w:p>
        </w:tc>
        <w:tc>
          <w:tcPr>
            <w:tcW w:w="1800" w:type="dxa"/>
            <w:shd w:val="clear" w:color="auto" w:fill="auto"/>
          </w:tcPr>
          <w:p w14:paraId="50327EAA" w14:textId="77777777" w:rsidR="001B44B6" w:rsidRPr="009C232A" w:rsidRDefault="001B44B6" w:rsidP="006229EB">
            <w:pPr>
              <w:widowControl w:val="0"/>
              <w:rPr>
                <w:b/>
                <w:szCs w:val="24"/>
              </w:rPr>
            </w:pPr>
            <w:r w:rsidRPr="009C232A">
              <w:rPr>
                <w:b/>
                <w:szCs w:val="24"/>
              </w:rPr>
              <w:t>Case No.</w:t>
            </w:r>
          </w:p>
        </w:tc>
        <w:tc>
          <w:tcPr>
            <w:tcW w:w="2250" w:type="dxa"/>
            <w:shd w:val="clear" w:color="auto" w:fill="auto"/>
          </w:tcPr>
          <w:p w14:paraId="3C321733" w14:textId="77777777" w:rsidR="001B44B6" w:rsidRPr="009C232A" w:rsidRDefault="001B44B6" w:rsidP="006229EB">
            <w:pPr>
              <w:widowControl w:val="0"/>
              <w:rPr>
                <w:b/>
                <w:szCs w:val="24"/>
              </w:rPr>
            </w:pPr>
            <w:r w:rsidRPr="009C232A">
              <w:rPr>
                <w:b/>
                <w:szCs w:val="24"/>
              </w:rPr>
              <w:t>Division</w:t>
            </w:r>
          </w:p>
        </w:tc>
      </w:tr>
      <w:tr w:rsidR="001B44B6" w:rsidRPr="009C232A" w14:paraId="1768EA53" w14:textId="77777777" w:rsidTr="006229EB">
        <w:tc>
          <w:tcPr>
            <w:tcW w:w="2880" w:type="dxa"/>
            <w:shd w:val="clear" w:color="auto" w:fill="auto"/>
          </w:tcPr>
          <w:p w14:paraId="636A5E80" w14:textId="77777777" w:rsidR="001B44B6" w:rsidRPr="001B44B6" w:rsidRDefault="001B44B6" w:rsidP="006229EB">
            <w:pPr>
              <w:widowControl w:val="0"/>
              <w:spacing w:line="240" w:lineRule="auto"/>
              <w:jc w:val="left"/>
              <w:rPr>
                <w:szCs w:val="24"/>
                <w:highlight w:val="yellow"/>
              </w:rPr>
            </w:pPr>
            <w:r w:rsidRPr="001B44B6">
              <w:rPr>
                <w:szCs w:val="24"/>
                <w:highlight w:val="yellow"/>
              </w:rPr>
              <w:t>Outpatient Pain and Wellness Center, Inc.</w:t>
            </w:r>
          </w:p>
        </w:tc>
        <w:tc>
          <w:tcPr>
            <w:tcW w:w="2538" w:type="dxa"/>
            <w:shd w:val="clear" w:color="auto" w:fill="auto"/>
          </w:tcPr>
          <w:p w14:paraId="02B83D1B" w14:textId="77777777" w:rsidR="001B44B6" w:rsidRPr="001B44B6" w:rsidRDefault="001B44B6" w:rsidP="006229EB">
            <w:pPr>
              <w:widowControl w:val="0"/>
              <w:spacing w:line="240" w:lineRule="auto"/>
              <w:jc w:val="left"/>
              <w:rPr>
                <w:szCs w:val="24"/>
                <w:highlight w:val="yellow"/>
              </w:rPr>
            </w:pPr>
            <w:proofErr w:type="gramStart"/>
            <w:r w:rsidRPr="001B44B6">
              <w:rPr>
                <w:szCs w:val="24"/>
                <w:highlight w:val="yellow"/>
              </w:rPr>
              <w:t>Windhaven  Insurance</w:t>
            </w:r>
            <w:proofErr w:type="gramEnd"/>
            <w:r w:rsidRPr="001B44B6">
              <w:rPr>
                <w:szCs w:val="24"/>
                <w:highlight w:val="yellow"/>
              </w:rPr>
              <w:t xml:space="preserve"> Company</w:t>
            </w:r>
          </w:p>
        </w:tc>
        <w:tc>
          <w:tcPr>
            <w:tcW w:w="1800" w:type="dxa"/>
            <w:shd w:val="clear" w:color="auto" w:fill="auto"/>
          </w:tcPr>
          <w:p w14:paraId="710CD7CC" w14:textId="77777777" w:rsidR="001B44B6" w:rsidRPr="001B44B6" w:rsidRDefault="001B44B6" w:rsidP="006229EB">
            <w:pPr>
              <w:widowControl w:val="0"/>
              <w:spacing w:line="240" w:lineRule="auto"/>
              <w:jc w:val="center"/>
              <w:rPr>
                <w:szCs w:val="24"/>
                <w:highlight w:val="yellow"/>
              </w:rPr>
            </w:pPr>
            <w:r w:rsidRPr="001B44B6">
              <w:rPr>
                <w:szCs w:val="24"/>
                <w:highlight w:val="yellow"/>
              </w:rPr>
              <w:t>17-CC-014228</w:t>
            </w:r>
          </w:p>
        </w:tc>
        <w:tc>
          <w:tcPr>
            <w:tcW w:w="2250" w:type="dxa"/>
            <w:shd w:val="clear" w:color="auto" w:fill="auto"/>
          </w:tcPr>
          <w:p w14:paraId="14BFA6A6" w14:textId="77777777" w:rsidR="001B44B6" w:rsidRPr="001B44B6" w:rsidRDefault="001B44B6" w:rsidP="006229EB">
            <w:pPr>
              <w:widowControl w:val="0"/>
              <w:spacing w:line="240" w:lineRule="auto"/>
              <w:jc w:val="center"/>
              <w:rPr>
                <w:szCs w:val="24"/>
                <w:highlight w:val="yellow"/>
              </w:rPr>
            </w:pPr>
            <w:r w:rsidRPr="001B44B6">
              <w:rPr>
                <w:szCs w:val="24"/>
                <w:highlight w:val="yellow"/>
              </w:rPr>
              <w:t>I</w:t>
            </w:r>
          </w:p>
        </w:tc>
      </w:tr>
      <w:tr w:rsidR="001B44B6" w:rsidRPr="009C232A" w14:paraId="0ABDA680" w14:textId="77777777" w:rsidTr="006229EB">
        <w:tc>
          <w:tcPr>
            <w:tcW w:w="2880" w:type="dxa"/>
            <w:shd w:val="clear" w:color="auto" w:fill="auto"/>
          </w:tcPr>
          <w:p w14:paraId="2EF23896" w14:textId="77777777" w:rsidR="001B44B6" w:rsidRPr="001B44B6" w:rsidRDefault="001B44B6" w:rsidP="006229EB">
            <w:pPr>
              <w:widowControl w:val="0"/>
              <w:spacing w:line="240" w:lineRule="auto"/>
              <w:jc w:val="left"/>
              <w:rPr>
                <w:szCs w:val="24"/>
                <w:highlight w:val="yellow"/>
              </w:rPr>
            </w:pPr>
            <w:r w:rsidRPr="001B44B6">
              <w:rPr>
                <w:szCs w:val="24"/>
                <w:highlight w:val="yellow"/>
              </w:rPr>
              <w:t>Outpatient Pain and Wellness Center, Inc.</w:t>
            </w:r>
          </w:p>
        </w:tc>
        <w:tc>
          <w:tcPr>
            <w:tcW w:w="2538" w:type="dxa"/>
            <w:shd w:val="clear" w:color="auto" w:fill="auto"/>
          </w:tcPr>
          <w:p w14:paraId="1D71A271" w14:textId="77777777" w:rsidR="001B44B6" w:rsidRPr="001B44B6" w:rsidRDefault="001B44B6" w:rsidP="006229EB">
            <w:pPr>
              <w:widowControl w:val="0"/>
              <w:spacing w:line="240" w:lineRule="auto"/>
              <w:jc w:val="left"/>
              <w:rPr>
                <w:szCs w:val="24"/>
                <w:highlight w:val="yellow"/>
              </w:rPr>
            </w:pPr>
            <w:proofErr w:type="gramStart"/>
            <w:r w:rsidRPr="001B44B6">
              <w:rPr>
                <w:szCs w:val="24"/>
                <w:highlight w:val="yellow"/>
              </w:rPr>
              <w:t>Windhaven  Insurance</w:t>
            </w:r>
            <w:proofErr w:type="gramEnd"/>
            <w:r w:rsidRPr="001B44B6">
              <w:rPr>
                <w:szCs w:val="24"/>
                <w:highlight w:val="yellow"/>
              </w:rPr>
              <w:t xml:space="preserve"> Company</w:t>
            </w:r>
          </w:p>
        </w:tc>
        <w:tc>
          <w:tcPr>
            <w:tcW w:w="1800" w:type="dxa"/>
            <w:shd w:val="clear" w:color="auto" w:fill="auto"/>
          </w:tcPr>
          <w:p w14:paraId="2B719BA0" w14:textId="77777777" w:rsidR="001B44B6" w:rsidRPr="001B44B6" w:rsidRDefault="001B44B6" w:rsidP="006229EB">
            <w:pPr>
              <w:widowControl w:val="0"/>
              <w:spacing w:line="240" w:lineRule="auto"/>
              <w:jc w:val="center"/>
              <w:rPr>
                <w:szCs w:val="24"/>
                <w:highlight w:val="yellow"/>
              </w:rPr>
            </w:pPr>
            <w:r w:rsidRPr="001B44B6">
              <w:rPr>
                <w:szCs w:val="24"/>
                <w:highlight w:val="yellow"/>
              </w:rPr>
              <w:t>17-CC-014756</w:t>
            </w:r>
          </w:p>
        </w:tc>
        <w:tc>
          <w:tcPr>
            <w:tcW w:w="2250" w:type="dxa"/>
            <w:shd w:val="clear" w:color="auto" w:fill="auto"/>
          </w:tcPr>
          <w:p w14:paraId="406C030B" w14:textId="77777777" w:rsidR="001B44B6" w:rsidRPr="001B44B6" w:rsidRDefault="001B44B6" w:rsidP="006229EB">
            <w:pPr>
              <w:widowControl w:val="0"/>
              <w:spacing w:line="240" w:lineRule="auto"/>
              <w:jc w:val="center"/>
              <w:rPr>
                <w:szCs w:val="24"/>
                <w:highlight w:val="yellow"/>
              </w:rPr>
            </w:pPr>
            <w:r w:rsidRPr="001B44B6">
              <w:rPr>
                <w:szCs w:val="24"/>
                <w:highlight w:val="yellow"/>
              </w:rPr>
              <w:t>U</w:t>
            </w:r>
          </w:p>
        </w:tc>
      </w:tr>
    </w:tbl>
    <w:p w14:paraId="28A92663" w14:textId="77777777" w:rsidR="001B44B6" w:rsidRDefault="001B44B6" w:rsidP="001B44B6">
      <w:pPr>
        <w:widowControl w:val="0"/>
        <w:numPr>
          <w:ilvl w:val="0"/>
          <w:numId w:val="2"/>
        </w:numPr>
        <w:spacing w:before="240"/>
        <w:ind w:left="0" w:firstLine="720"/>
        <w:rPr>
          <w:szCs w:val="24"/>
        </w:rPr>
      </w:pPr>
      <w:r>
        <w:rPr>
          <w:szCs w:val="24"/>
        </w:rPr>
        <w:t>Administrative Order S-2017-017(11) provides:</w:t>
      </w:r>
    </w:p>
    <w:p w14:paraId="7C326C0B" w14:textId="77777777" w:rsidR="001B44B6" w:rsidRPr="008C3053" w:rsidRDefault="001B44B6" w:rsidP="001B44B6">
      <w:pPr>
        <w:widowControl w:val="0"/>
        <w:spacing w:before="240" w:line="240" w:lineRule="auto"/>
        <w:ind w:left="720" w:right="720"/>
        <w:rPr>
          <w:b/>
          <w:bCs/>
          <w:szCs w:val="24"/>
        </w:rPr>
      </w:pPr>
      <w:r>
        <w:rPr>
          <w:b/>
          <w:bCs/>
          <w:szCs w:val="24"/>
        </w:rPr>
        <w:t>11</w:t>
      </w:r>
      <w:r w:rsidRPr="008C3053">
        <w:rPr>
          <w:b/>
          <w:bCs/>
          <w:szCs w:val="24"/>
        </w:rPr>
        <w:t>. Consolidation</w:t>
      </w:r>
    </w:p>
    <w:p w14:paraId="3567D829" w14:textId="77777777" w:rsidR="001B44B6" w:rsidRPr="008C3053" w:rsidRDefault="001B44B6" w:rsidP="001B44B6">
      <w:pPr>
        <w:widowControl w:val="0"/>
        <w:spacing w:before="240" w:line="240" w:lineRule="auto"/>
        <w:ind w:left="720" w:right="720"/>
        <w:rPr>
          <w:szCs w:val="24"/>
        </w:rPr>
      </w:pPr>
      <w:r w:rsidRPr="008C3053">
        <w:rPr>
          <w:szCs w:val="24"/>
        </w:rPr>
        <w:t>When two or more cases, regardless of their nature, involving common</w:t>
      </w:r>
      <w:r>
        <w:rPr>
          <w:szCs w:val="24"/>
        </w:rPr>
        <w:t xml:space="preserve"> </w:t>
      </w:r>
      <w:r w:rsidRPr="008C3053">
        <w:rPr>
          <w:szCs w:val="24"/>
        </w:rPr>
        <w:t xml:space="preserve">questions </w:t>
      </w:r>
      <w:r w:rsidRPr="008C3053">
        <w:rPr>
          <w:szCs w:val="24"/>
        </w:rPr>
        <w:lastRenderedPageBreak/>
        <w:t>of law or fact are pending in the court and might appropriately be</w:t>
      </w:r>
      <w:r>
        <w:rPr>
          <w:szCs w:val="24"/>
        </w:rPr>
        <w:t xml:space="preserve"> </w:t>
      </w:r>
      <w:r w:rsidRPr="008C3053">
        <w:rPr>
          <w:szCs w:val="24"/>
        </w:rPr>
        <w:t>considered or tried together, but which are assigned to different divisions of the</w:t>
      </w:r>
      <w:r>
        <w:rPr>
          <w:szCs w:val="24"/>
        </w:rPr>
        <w:t xml:space="preserve"> </w:t>
      </w:r>
      <w:r w:rsidRPr="008C3053">
        <w:rPr>
          <w:szCs w:val="24"/>
        </w:rPr>
        <w:t>court, the judge assigned to the division in which the lower case number is pending</w:t>
      </w:r>
      <w:r>
        <w:rPr>
          <w:szCs w:val="24"/>
        </w:rPr>
        <w:t xml:space="preserve"> </w:t>
      </w:r>
      <w:r w:rsidRPr="008C3053">
        <w:rPr>
          <w:szCs w:val="24"/>
        </w:rPr>
        <w:t>may, upon a party's motion or upon the judge's own motion, transfer the case(s)</w:t>
      </w:r>
      <w:r>
        <w:rPr>
          <w:szCs w:val="24"/>
        </w:rPr>
        <w:t xml:space="preserve"> </w:t>
      </w:r>
      <w:r w:rsidRPr="008C3053">
        <w:rPr>
          <w:szCs w:val="24"/>
        </w:rPr>
        <w:t>with the higher number(s) to the judge's division</w:t>
      </w:r>
      <w:r>
        <w:rPr>
          <w:szCs w:val="24"/>
        </w:rPr>
        <w:t xml:space="preserve"> with the lower case number</w:t>
      </w:r>
      <w:r w:rsidRPr="008C3053">
        <w:rPr>
          <w:szCs w:val="24"/>
        </w:rPr>
        <w:t>. Upon any reassignment, the</w:t>
      </w:r>
      <w:r>
        <w:rPr>
          <w:szCs w:val="24"/>
        </w:rPr>
        <w:t xml:space="preserve"> </w:t>
      </w:r>
      <w:r w:rsidRPr="008C3053">
        <w:rPr>
          <w:szCs w:val="24"/>
        </w:rPr>
        <w:t>clerk will make an appropriate notation on the progress docket(s), and thereafter</w:t>
      </w:r>
      <w:r>
        <w:rPr>
          <w:szCs w:val="24"/>
        </w:rPr>
        <w:t xml:space="preserve"> </w:t>
      </w:r>
      <w:r w:rsidRPr="008C3053">
        <w:rPr>
          <w:szCs w:val="24"/>
        </w:rPr>
        <w:t xml:space="preserve">the issues in all such cases will be heard, </w:t>
      </w:r>
      <w:proofErr w:type="gramStart"/>
      <w:r w:rsidRPr="008C3053">
        <w:rPr>
          <w:szCs w:val="24"/>
        </w:rPr>
        <w:t>tried</w:t>
      </w:r>
      <w:proofErr w:type="gramEnd"/>
      <w:r w:rsidRPr="008C3053">
        <w:rPr>
          <w:szCs w:val="24"/>
        </w:rPr>
        <w:t xml:space="preserve"> and determined by the judge</w:t>
      </w:r>
      <w:r>
        <w:rPr>
          <w:szCs w:val="24"/>
        </w:rPr>
        <w:t xml:space="preserve"> </w:t>
      </w:r>
      <w:r w:rsidRPr="008C3053">
        <w:rPr>
          <w:szCs w:val="24"/>
        </w:rPr>
        <w:t>assigned to the division making the reassignment. Once made, any reassignment</w:t>
      </w:r>
      <w:r>
        <w:rPr>
          <w:szCs w:val="24"/>
        </w:rPr>
        <w:t xml:space="preserve"> </w:t>
      </w:r>
      <w:r w:rsidRPr="008C3053">
        <w:rPr>
          <w:szCs w:val="24"/>
        </w:rPr>
        <w:t>will be permanent notwithstanding that such cases may not be ultimately tried</w:t>
      </w:r>
      <w:r>
        <w:rPr>
          <w:szCs w:val="24"/>
        </w:rPr>
        <w:t xml:space="preserve"> </w:t>
      </w:r>
      <w:r w:rsidRPr="008C3053">
        <w:rPr>
          <w:szCs w:val="24"/>
        </w:rPr>
        <w:t>together.</w:t>
      </w:r>
    </w:p>
    <w:p w14:paraId="6BDC619A" w14:textId="77777777" w:rsidR="001B44B6" w:rsidRDefault="001B44B6" w:rsidP="001B44B6">
      <w:pPr>
        <w:widowControl w:val="0"/>
        <w:spacing w:before="240" w:line="240" w:lineRule="auto"/>
        <w:ind w:left="720" w:right="720"/>
        <w:rPr>
          <w:szCs w:val="24"/>
        </w:rPr>
      </w:pPr>
      <w:r w:rsidRPr="008C3053">
        <w:rPr>
          <w:szCs w:val="24"/>
        </w:rPr>
        <w:t>If cases are consolidated, the party filing the motion to consolidate is</w:t>
      </w:r>
      <w:r>
        <w:rPr>
          <w:szCs w:val="24"/>
        </w:rPr>
        <w:t xml:space="preserve"> </w:t>
      </w:r>
      <w:r w:rsidRPr="008C3053">
        <w:rPr>
          <w:szCs w:val="24"/>
        </w:rPr>
        <w:t>responsible for providing copies of the order of consolidation for filing in the</w:t>
      </w:r>
      <w:r>
        <w:rPr>
          <w:szCs w:val="24"/>
        </w:rPr>
        <w:t xml:space="preserve"> </w:t>
      </w:r>
      <w:r w:rsidRPr="008C3053">
        <w:rPr>
          <w:szCs w:val="24"/>
        </w:rPr>
        <w:t>reassigned cases. If the cases are consolidated upon the judge's own motion, the</w:t>
      </w:r>
      <w:r>
        <w:rPr>
          <w:szCs w:val="24"/>
        </w:rPr>
        <w:t xml:space="preserve"> </w:t>
      </w:r>
      <w:r w:rsidRPr="008C3053">
        <w:rPr>
          <w:szCs w:val="24"/>
        </w:rPr>
        <w:t>judge will designate the party responsible for providing copies of the order of</w:t>
      </w:r>
      <w:r>
        <w:rPr>
          <w:szCs w:val="24"/>
        </w:rPr>
        <w:t xml:space="preserve"> </w:t>
      </w:r>
      <w:r w:rsidRPr="008C3053">
        <w:rPr>
          <w:szCs w:val="24"/>
        </w:rPr>
        <w:t>consolidation for filing in the reassigned cases. After consolidation, each pleading,</w:t>
      </w:r>
      <w:r>
        <w:rPr>
          <w:szCs w:val="24"/>
        </w:rPr>
        <w:t xml:space="preserve"> </w:t>
      </w:r>
      <w:proofErr w:type="gramStart"/>
      <w:r w:rsidRPr="008C3053">
        <w:rPr>
          <w:szCs w:val="24"/>
        </w:rPr>
        <w:t>document</w:t>
      </w:r>
      <w:proofErr w:type="gramEnd"/>
      <w:r w:rsidRPr="008C3053">
        <w:rPr>
          <w:szCs w:val="24"/>
        </w:rPr>
        <w:t xml:space="preserve"> or order filed must show in the caption, the style and case number of all</w:t>
      </w:r>
      <w:r>
        <w:rPr>
          <w:szCs w:val="24"/>
        </w:rPr>
        <w:t xml:space="preserve"> </w:t>
      </w:r>
      <w:r w:rsidRPr="008C3053">
        <w:rPr>
          <w:szCs w:val="24"/>
        </w:rPr>
        <w:t>of the reassigned cases which have been consolidated. Each pleading, document or</w:t>
      </w:r>
      <w:r>
        <w:rPr>
          <w:szCs w:val="24"/>
        </w:rPr>
        <w:t xml:space="preserve"> </w:t>
      </w:r>
      <w:r w:rsidRPr="008C3053">
        <w:rPr>
          <w:szCs w:val="24"/>
        </w:rPr>
        <w:t>order will be filed only in the case into which the other cases have been</w:t>
      </w:r>
      <w:r>
        <w:rPr>
          <w:szCs w:val="24"/>
        </w:rPr>
        <w:t xml:space="preserve"> </w:t>
      </w:r>
      <w:r w:rsidRPr="008C3053">
        <w:rPr>
          <w:szCs w:val="24"/>
        </w:rPr>
        <w:t>consolidated.</w:t>
      </w:r>
      <w:r>
        <w:rPr>
          <w:szCs w:val="24"/>
        </w:rPr>
        <w:t xml:space="preserve"> </w:t>
      </w:r>
    </w:p>
    <w:p w14:paraId="00994071" w14:textId="77777777" w:rsidR="001B44B6" w:rsidRDefault="001B44B6" w:rsidP="001B44B6">
      <w:pPr>
        <w:widowControl w:val="0"/>
        <w:spacing w:line="240" w:lineRule="auto"/>
        <w:ind w:left="720" w:right="720"/>
        <w:rPr>
          <w:szCs w:val="24"/>
        </w:rPr>
      </w:pPr>
    </w:p>
    <w:p w14:paraId="1249ED52" w14:textId="77777777" w:rsidR="001B44B6" w:rsidRDefault="001B44B6" w:rsidP="001B44B6">
      <w:pPr>
        <w:widowControl w:val="0"/>
        <w:numPr>
          <w:ilvl w:val="0"/>
          <w:numId w:val="2"/>
        </w:numPr>
        <w:ind w:left="0" w:firstLine="720"/>
        <w:rPr>
          <w:szCs w:val="24"/>
        </w:rPr>
      </w:pPr>
      <w:r w:rsidRPr="00BB29BB">
        <w:rPr>
          <w:szCs w:val="24"/>
        </w:rPr>
        <w:t xml:space="preserve">Therefore, pursuant to </w:t>
      </w:r>
      <w:r>
        <w:rPr>
          <w:szCs w:val="24"/>
        </w:rPr>
        <w:t>Administrative Order S-2017-017(11)</w:t>
      </w:r>
      <w:r w:rsidRPr="00BB29BB">
        <w:rPr>
          <w:szCs w:val="24"/>
        </w:rPr>
        <w:t xml:space="preserve">, this Court has the authority to </w:t>
      </w:r>
      <w:r>
        <w:rPr>
          <w:szCs w:val="24"/>
        </w:rPr>
        <w:t>consolidate</w:t>
      </w:r>
      <w:r w:rsidRPr="00BB29BB">
        <w:rPr>
          <w:szCs w:val="24"/>
        </w:rPr>
        <w:t xml:space="preserve"> the above-referenced case </w:t>
      </w:r>
      <w:r>
        <w:rPr>
          <w:szCs w:val="24"/>
        </w:rPr>
        <w:t xml:space="preserve">into Case Number </w:t>
      </w:r>
      <w:r w:rsidR="00A46512">
        <w:rPr>
          <w:szCs w:val="24"/>
        </w:rPr>
        <w:t xml:space="preserve">`1234567896322345678</w:t>
      </w:r>
      <w:r>
        <w:rPr>
          <w:szCs w:val="24"/>
        </w:rPr>
        <w:t>.</w:t>
      </w:r>
    </w:p>
    <w:p w14:paraId="39221418" w14:textId="77777777" w:rsidR="001B44B6" w:rsidRPr="00BB29BB" w:rsidRDefault="001B44B6" w:rsidP="001B44B6">
      <w:pPr>
        <w:widowControl w:val="0"/>
        <w:numPr>
          <w:ilvl w:val="0"/>
          <w:numId w:val="2"/>
        </w:numPr>
        <w:ind w:left="0" w:firstLine="720"/>
        <w:rPr>
          <w:szCs w:val="24"/>
        </w:rPr>
      </w:pPr>
      <w:r w:rsidRPr="00BB29BB">
        <w:rPr>
          <w:szCs w:val="24"/>
        </w:rPr>
        <w:t xml:space="preserve">Consolidation of these cases </w:t>
      </w:r>
      <w:r>
        <w:rPr>
          <w:szCs w:val="24"/>
        </w:rPr>
        <w:t xml:space="preserve">would prevent duplicative </w:t>
      </w:r>
      <w:proofErr w:type="gramStart"/>
      <w:r>
        <w:rPr>
          <w:szCs w:val="24"/>
        </w:rPr>
        <w:t>litigation, and</w:t>
      </w:r>
      <w:proofErr w:type="gramEnd"/>
      <w:r>
        <w:rPr>
          <w:szCs w:val="24"/>
        </w:rPr>
        <w:t xml:space="preserve"> prevent the unnecessary expense of judicial resources</w:t>
      </w:r>
      <w:r w:rsidRPr="00BB29BB">
        <w:rPr>
          <w:szCs w:val="24"/>
        </w:rPr>
        <w:t>.</w:t>
      </w:r>
    </w:p>
    <w:p w14:paraId="6B69AFA0" w14:textId="77777777" w:rsidR="001B44B6" w:rsidRDefault="001B44B6" w:rsidP="001B44B6">
      <w:pPr>
        <w:widowControl w:val="0"/>
        <w:numPr>
          <w:ilvl w:val="0"/>
          <w:numId w:val="2"/>
        </w:numPr>
        <w:ind w:left="0" w:firstLine="720"/>
        <w:rPr>
          <w:szCs w:val="24"/>
        </w:rPr>
      </w:pPr>
      <w:r>
        <w:rPr>
          <w:szCs w:val="24"/>
        </w:rPr>
        <w:t>Further, consolidation of these cases will promote judicial economy, minimize the parties’ expenses, and avoid the possibility of inconsistent results.</w:t>
      </w:r>
    </w:p>
    <w:p w14:paraId="5083799F" w14:textId="77777777" w:rsidR="001B44B6" w:rsidRDefault="001B44B6" w:rsidP="001B44B6">
      <w:pPr>
        <w:widowControl w:val="0"/>
        <w:numPr>
          <w:ilvl w:val="0"/>
          <w:numId w:val="2"/>
        </w:numPr>
        <w:ind w:left="0" w:firstLine="720"/>
        <w:rPr>
          <w:szCs w:val="24"/>
        </w:rPr>
      </w:pPr>
      <w:r>
        <w:rPr>
          <w:szCs w:val="24"/>
        </w:rPr>
        <w:t>I hereby certify that an attempt the resolve the foregoing issue has been made prior to setting the matter for hearing.</w:t>
      </w:r>
    </w:p>
    <w:p w14:paraId="5EDDA333" w14:textId="5A91CF2B" w:rsidR="001B44B6" w:rsidRDefault="001B44B6" w:rsidP="001B44B6">
      <w:pPr>
        <w:widowControl w:val="0"/>
        <w:ind w:firstLine="720"/>
        <w:rPr>
          <w:szCs w:val="24"/>
        </w:rPr>
      </w:pPr>
      <w:r w:rsidRPr="008C3053">
        <w:rPr>
          <w:b/>
          <w:szCs w:val="24"/>
        </w:rPr>
        <w:t>WHEREFORE</w:t>
      </w:r>
      <w:r>
        <w:rPr>
          <w:szCs w:val="24"/>
        </w:rPr>
        <w:t xml:space="preserve">, the Plaintiff respectfully requests that this Honorable Court enter an order transferring to Division </w:t>
      </w:r>
      <w:r w:rsidR="00183865" w:rsidRPr="00183865">
        <w:rPr>
          <w:szCs w:val="24"/>
        </w:rPr>
        <w:t xml:space="preserve">77</w:t>
      </w:r>
      <w:r>
        <w:rPr>
          <w:szCs w:val="24"/>
        </w:rPr>
        <w:t xml:space="preserve"> and consolidating the above referenced cases.</w:t>
      </w:r>
    </w:p>
    <w:p w14:paraId="77CABE94" w14:textId="77777777" w:rsidR="001B44B6" w:rsidRPr="006F2988" w:rsidRDefault="001B44B6" w:rsidP="001B44B6">
      <w:pPr>
        <w:spacing w:line="240" w:lineRule="auto"/>
        <w:ind w:left="-720" w:firstLine="720"/>
        <w:jc w:val="center"/>
        <w:rPr>
          <w:b/>
          <w:bCs/>
          <w:szCs w:val="24"/>
        </w:rPr>
      </w:pPr>
      <w:r w:rsidRPr="006F2988">
        <w:rPr>
          <w:b/>
          <w:bCs/>
          <w:szCs w:val="24"/>
          <w:u w:val="single"/>
        </w:rPr>
        <w:t>CERTIFICATE OF SERVICE</w:t>
      </w:r>
    </w:p>
    <w:p w14:paraId="37FE38EA" w14:textId="77777777" w:rsidR="001B44B6" w:rsidRPr="006F2988" w:rsidRDefault="001B44B6" w:rsidP="001B44B6">
      <w:pPr>
        <w:spacing w:line="240" w:lineRule="auto"/>
        <w:jc w:val="left"/>
        <w:rPr>
          <w:b/>
          <w:bCs/>
          <w:szCs w:val="24"/>
        </w:rPr>
      </w:pPr>
    </w:p>
    <w:p w14:paraId="2EDA3A4E" w14:textId="77777777" w:rsidR="001B44B6" w:rsidRPr="006F2988" w:rsidRDefault="001B44B6" w:rsidP="001B44B6">
      <w:pPr>
        <w:widowControl w:val="0"/>
        <w:autoSpaceDE w:val="0"/>
        <w:autoSpaceDN w:val="0"/>
        <w:adjustRightInd w:val="0"/>
        <w:spacing w:line="240" w:lineRule="auto"/>
        <w:ind w:firstLine="720"/>
        <w:rPr>
          <w:szCs w:val="24"/>
        </w:rPr>
      </w:pPr>
      <w:r w:rsidRPr="006F2988">
        <w:rPr>
          <w:b/>
          <w:bCs/>
          <w:szCs w:val="24"/>
        </w:rPr>
        <w:t>I HEREBY CERTIFY</w:t>
      </w:r>
      <w:r w:rsidRPr="006F2988">
        <w:rPr>
          <w:szCs w:val="24"/>
        </w:rPr>
        <w:t xml:space="preserve"> that a true and correct copy of the foregoing Request has been </w:t>
      </w:r>
      <w:r w:rsidRPr="006F2988">
        <w:rPr>
          <w:szCs w:val="24"/>
        </w:rPr>
        <w:lastRenderedPageBreak/>
        <w:t xml:space="preserve">furnished by electronic service to the Attorney for the Defendant, </w:t>
      </w:r>
      <w:r w:rsidR="00372E66">
        <w:rPr>
          <w:szCs w:val="24"/>
        </w:rPr>
        <w:t xml:space="preserve">Sage Law Offices</w:t>
      </w:r>
      <w:r>
        <w:rPr>
          <w:szCs w:val="24"/>
        </w:rPr>
        <w:t xml:space="preserve"> </w:t>
      </w:r>
      <w:r w:rsidR="00372E66">
        <w:rPr>
          <w:szCs w:val="24"/>
        </w:rPr>
        <w:t/>
      </w:r>
      <w:r>
        <w:rPr>
          <w:szCs w:val="24"/>
        </w:rPr>
        <w:t xml:space="preserve"> at </w:t>
      </w:r>
      <w:r w:rsidR="00372E66">
        <w:rPr>
          <w:szCs w:val="24"/>
        </w:rPr>
        <w:t/>
      </w:r>
      <w:r w:rsidRPr="006F2988">
        <w:rPr>
          <w:szCs w:val="24"/>
        </w:rPr>
        <w:t xml:space="preserve">, </w:t>
      </w:r>
      <w:r>
        <w:rPr>
          <w:szCs w:val="24"/>
        </w:rPr>
        <w:t>on</w:t>
      </w:r>
      <w:r w:rsidRPr="006F2988">
        <w:rPr>
          <w:szCs w:val="24"/>
        </w:rPr>
        <w:t xml:space="preserve"> </w:t>
      </w:r>
      <w:r w:rsidR="00372E66">
        <w:rPr>
          <w:szCs w:val="24"/>
        </w:rPr>
        <w:t xml:space="preserve">April 21, 2023</w:t>
      </w:r>
      <w:r>
        <w:rPr>
          <w:szCs w:val="24"/>
        </w:rPr>
        <w:t>.</w:t>
      </w:r>
      <w:r w:rsidRPr="006F2988">
        <w:rPr>
          <w:szCs w:val="24"/>
        </w:rPr>
        <w:t xml:space="preserve"> </w:t>
      </w:r>
    </w:p>
    <w:p w14:paraId="04FB9F40" w14:textId="77777777" w:rsidR="001B44B6" w:rsidRPr="006F2988" w:rsidRDefault="001B44B6" w:rsidP="001B44B6">
      <w:pPr>
        <w:rPr>
          <w:szCs w:val="24"/>
        </w:rPr>
      </w:pPr>
    </w:p>
    <w:p w14:paraId="441916B8" w14:textId="77777777" w:rsidR="001B44B6" w:rsidRPr="006F2988" w:rsidRDefault="001B44B6" w:rsidP="001B44B6">
      <w:pPr>
        <w:spacing w:line="240" w:lineRule="auto"/>
        <w:ind w:left="4320" w:firstLine="720"/>
        <w:jc w:val="left"/>
        <w:rPr>
          <w:szCs w:val="24"/>
        </w:rPr>
      </w:pPr>
      <w:r w:rsidRPr="006F2988">
        <w:rPr>
          <w:szCs w:val="24"/>
        </w:rPr>
        <w:t xml:space="preserve">              /s/ Amy T. Sullivan</w:t>
      </w:r>
    </w:p>
    <w:p w14:paraId="11895ABA" w14:textId="77777777" w:rsidR="001B44B6" w:rsidRPr="006F2988" w:rsidRDefault="001B44B6" w:rsidP="001B44B6">
      <w:pPr>
        <w:spacing w:line="240" w:lineRule="auto"/>
        <w:rPr>
          <w:szCs w:val="22"/>
        </w:rPr>
      </w:pP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t>_________________________________</w:t>
      </w:r>
    </w:p>
    <w:p w14:paraId="5D6A48CA" w14:textId="77777777" w:rsidR="001B44B6" w:rsidRPr="006F2988" w:rsidRDefault="001B44B6" w:rsidP="001B44B6">
      <w:pPr>
        <w:spacing w:line="240" w:lineRule="auto"/>
        <w:rPr>
          <w:b/>
          <w:bCs/>
          <w:szCs w:val="22"/>
        </w:rPr>
      </w:pP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b/>
          <w:bCs/>
          <w:szCs w:val="22"/>
        </w:rPr>
        <w:t>AMY T. SULLIVAN, ESQUIRE</w:t>
      </w:r>
    </w:p>
    <w:p w14:paraId="51776890" w14:textId="77777777" w:rsidR="001B44B6" w:rsidRPr="006F2988" w:rsidRDefault="001B44B6" w:rsidP="001B44B6">
      <w:pPr>
        <w:spacing w:line="240" w:lineRule="auto"/>
        <w:rPr>
          <w:bCs/>
          <w:szCs w:val="22"/>
        </w:rPr>
      </w:pPr>
      <w:r w:rsidRPr="006F2988">
        <w:rPr>
          <w:b/>
          <w:bCs/>
          <w:szCs w:val="22"/>
        </w:rPr>
        <w:tab/>
      </w:r>
      <w:r w:rsidRPr="006F2988">
        <w:rPr>
          <w:b/>
          <w:bCs/>
          <w:szCs w:val="22"/>
        </w:rPr>
        <w:tab/>
      </w:r>
      <w:r w:rsidRPr="006F2988">
        <w:rPr>
          <w:b/>
          <w:bCs/>
          <w:szCs w:val="22"/>
        </w:rPr>
        <w:tab/>
      </w:r>
      <w:r w:rsidRPr="006F2988">
        <w:rPr>
          <w:b/>
          <w:bCs/>
          <w:szCs w:val="22"/>
        </w:rPr>
        <w:tab/>
      </w:r>
      <w:r w:rsidRPr="006F2988">
        <w:rPr>
          <w:b/>
          <w:bCs/>
          <w:szCs w:val="22"/>
        </w:rPr>
        <w:tab/>
      </w:r>
      <w:r w:rsidRPr="006F2988">
        <w:rPr>
          <w:b/>
          <w:bCs/>
          <w:szCs w:val="22"/>
        </w:rPr>
        <w:tab/>
      </w:r>
      <w:r w:rsidRPr="006F2988">
        <w:rPr>
          <w:b/>
          <w:bCs/>
          <w:szCs w:val="22"/>
        </w:rPr>
        <w:tab/>
      </w:r>
      <w:r w:rsidRPr="006F2988">
        <w:rPr>
          <w:bCs/>
          <w:szCs w:val="22"/>
        </w:rPr>
        <w:t>Florida Bar No.: 108387</w:t>
      </w:r>
    </w:p>
    <w:p w14:paraId="6CF34DD4" w14:textId="77777777" w:rsidR="001B44B6" w:rsidRPr="006F2988" w:rsidRDefault="001B44B6" w:rsidP="001B44B6">
      <w:pPr>
        <w:spacing w:line="240" w:lineRule="auto"/>
        <w:rPr>
          <w:b/>
          <w:bCs/>
          <w:szCs w:val="22"/>
        </w:rPr>
      </w:pPr>
      <w:r w:rsidRPr="006F2988">
        <w:rPr>
          <w:b/>
          <w:bCs/>
          <w:szCs w:val="22"/>
        </w:rPr>
        <w:tab/>
      </w:r>
      <w:r w:rsidRPr="006F2988">
        <w:rPr>
          <w:b/>
          <w:bCs/>
          <w:szCs w:val="22"/>
        </w:rPr>
        <w:tab/>
      </w:r>
      <w:r w:rsidRPr="006F2988">
        <w:rPr>
          <w:b/>
          <w:bCs/>
          <w:szCs w:val="22"/>
        </w:rPr>
        <w:tab/>
      </w:r>
      <w:r w:rsidRPr="006F2988">
        <w:rPr>
          <w:b/>
          <w:bCs/>
          <w:szCs w:val="22"/>
        </w:rPr>
        <w:tab/>
      </w:r>
      <w:r w:rsidRPr="006F2988">
        <w:rPr>
          <w:b/>
          <w:bCs/>
          <w:szCs w:val="22"/>
        </w:rPr>
        <w:tab/>
      </w:r>
      <w:r w:rsidRPr="006F2988">
        <w:rPr>
          <w:b/>
          <w:bCs/>
          <w:szCs w:val="22"/>
        </w:rPr>
        <w:tab/>
      </w:r>
      <w:r w:rsidRPr="006F2988">
        <w:rPr>
          <w:b/>
          <w:bCs/>
          <w:szCs w:val="22"/>
        </w:rPr>
        <w:tab/>
        <w:t>ANTHONY T. PRIETO, ESQUIRE</w:t>
      </w:r>
    </w:p>
    <w:p w14:paraId="4CFD9EF9" w14:textId="77777777" w:rsidR="001B44B6" w:rsidRPr="006F2988" w:rsidRDefault="001B44B6" w:rsidP="001B44B6">
      <w:pPr>
        <w:spacing w:line="240" w:lineRule="auto"/>
        <w:rPr>
          <w:bCs/>
          <w:szCs w:val="22"/>
        </w:rPr>
      </w:pPr>
      <w:r w:rsidRPr="006F2988">
        <w:rPr>
          <w:b/>
          <w:bCs/>
          <w:szCs w:val="22"/>
        </w:rPr>
        <w:tab/>
      </w:r>
      <w:r w:rsidRPr="006F2988">
        <w:rPr>
          <w:b/>
          <w:bCs/>
          <w:szCs w:val="22"/>
        </w:rPr>
        <w:tab/>
      </w:r>
      <w:r w:rsidRPr="006F2988">
        <w:rPr>
          <w:b/>
          <w:bCs/>
          <w:szCs w:val="22"/>
        </w:rPr>
        <w:tab/>
      </w:r>
      <w:r w:rsidRPr="006F2988">
        <w:rPr>
          <w:b/>
          <w:bCs/>
          <w:szCs w:val="22"/>
        </w:rPr>
        <w:tab/>
      </w:r>
      <w:r w:rsidRPr="006F2988">
        <w:rPr>
          <w:b/>
          <w:bCs/>
          <w:szCs w:val="22"/>
        </w:rPr>
        <w:tab/>
      </w:r>
      <w:r w:rsidRPr="006F2988">
        <w:rPr>
          <w:b/>
          <w:bCs/>
          <w:szCs w:val="22"/>
        </w:rPr>
        <w:tab/>
      </w:r>
      <w:r w:rsidRPr="006F2988">
        <w:rPr>
          <w:b/>
          <w:bCs/>
          <w:szCs w:val="22"/>
        </w:rPr>
        <w:tab/>
      </w:r>
      <w:r w:rsidRPr="006F2988">
        <w:rPr>
          <w:bCs/>
          <w:szCs w:val="22"/>
        </w:rPr>
        <w:t>Florida Bar No.: 195529</w:t>
      </w:r>
    </w:p>
    <w:p w14:paraId="38C89218" w14:textId="77777777" w:rsidR="001B44B6" w:rsidRPr="006F2988" w:rsidRDefault="001B44B6" w:rsidP="001B44B6">
      <w:pPr>
        <w:spacing w:line="240" w:lineRule="auto"/>
        <w:rPr>
          <w:szCs w:val="22"/>
        </w:rPr>
      </w:pP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t>MORGAN AND MORGAN</w:t>
      </w:r>
    </w:p>
    <w:p w14:paraId="0199822E" w14:textId="77777777" w:rsidR="001B44B6" w:rsidRPr="006F2988" w:rsidRDefault="001B44B6" w:rsidP="001B44B6">
      <w:pPr>
        <w:spacing w:line="240" w:lineRule="auto"/>
        <w:rPr>
          <w:szCs w:val="22"/>
        </w:rPr>
      </w:pP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r>
      <w:r w:rsidR="00EB1E54">
        <w:rPr>
          <w:szCs w:val="22"/>
        </w:rPr>
        <w:t>3705 N. Himes Ave.</w:t>
      </w:r>
    </w:p>
    <w:p w14:paraId="7923E1EB" w14:textId="77777777" w:rsidR="001B44B6" w:rsidRPr="006F2988" w:rsidRDefault="001B44B6" w:rsidP="001B44B6">
      <w:pPr>
        <w:spacing w:line="240" w:lineRule="auto"/>
        <w:rPr>
          <w:szCs w:val="22"/>
        </w:rPr>
      </w:pP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t>Tampa, Florida 33607</w:t>
      </w:r>
    </w:p>
    <w:p w14:paraId="709EF1F3" w14:textId="684BD911" w:rsidR="001B44B6" w:rsidRPr="006F2988" w:rsidRDefault="001B44B6" w:rsidP="001B44B6">
      <w:pPr>
        <w:spacing w:line="240" w:lineRule="auto"/>
        <w:rPr>
          <w:szCs w:val="22"/>
        </w:rPr>
      </w:pP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t xml:space="preserve">Tel: </w:t>
      </w:r>
      <w:r w:rsidR="00EB1E54">
        <w:rPr>
          <w:szCs w:val="22"/>
        </w:rPr>
        <w:t>813/877-8600</w:t>
      </w:r>
      <w:r w:rsidRPr="006F2988">
        <w:rPr>
          <w:szCs w:val="22"/>
        </w:rPr>
        <w:t xml:space="preserve">/Fax: </w:t>
      </w:r>
      <w:r w:rsidR="00183865">
        <w:rPr>
          <w:szCs w:val="22"/>
        </w:rPr>
        <w:t>813</w:t>
      </w:r>
      <w:r w:rsidR="00EB1E54">
        <w:rPr>
          <w:szCs w:val="22"/>
        </w:rPr>
        <w:t>/</w:t>
      </w:r>
      <w:r w:rsidR="00183865">
        <w:rPr>
          <w:szCs w:val="22"/>
        </w:rPr>
        <w:t>202-7192</w:t>
      </w:r>
    </w:p>
    <w:p w14:paraId="2C9256EA" w14:textId="40D33E63" w:rsidR="00374B1D" w:rsidRPr="00183865" w:rsidRDefault="001B44B6" w:rsidP="00183865">
      <w:pPr>
        <w:spacing w:line="240" w:lineRule="auto"/>
        <w:rPr>
          <w:szCs w:val="24"/>
        </w:rPr>
      </w:pP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r>
      <w:r w:rsidRPr="006F2988">
        <w:rPr>
          <w:szCs w:val="22"/>
        </w:rPr>
        <w:tab/>
        <w:t>Attorney for Plaintiff</w:t>
      </w:r>
    </w:p>
    <w:sectPr w:rsidR="00374B1D" w:rsidRPr="00183865" w:rsidSect="008E6344">
      <w:footerReference w:type="even" r:id="rId7"/>
      <w:footerReference w:type="default" r:id="rId8"/>
      <w:headerReference w:type="first" r:id="rId9"/>
      <w:pgSz w:w="12240" w:h="15840"/>
      <w:pgMar w:top="1440" w:right="1440" w:bottom="1440" w:left="1440" w:header="720" w:footer="34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6462C" w14:textId="77777777" w:rsidR="00060182" w:rsidRDefault="00060182">
      <w:pPr>
        <w:spacing w:line="240" w:lineRule="auto"/>
      </w:pPr>
      <w:r>
        <w:separator/>
      </w:r>
    </w:p>
  </w:endnote>
  <w:endnote w:type="continuationSeparator" w:id="0">
    <w:p w14:paraId="680549F0" w14:textId="77777777" w:rsidR="00060182" w:rsidRDefault="00060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1AAB2" w14:textId="77777777" w:rsidR="005E118E" w:rsidRDefault="001B44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1E5923" w14:textId="77777777" w:rsidR="005E118E" w:rsidRDefault="00060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18AE3" w14:textId="77777777" w:rsidR="005E118E" w:rsidRPr="00BB7298" w:rsidRDefault="001B44B6" w:rsidP="00BB7298">
    <w:pPr>
      <w:pStyle w:val="Footer"/>
      <w:jc w:val="left"/>
      <w:rPr>
        <w:sz w:val="20"/>
      </w:rPr>
    </w:pPr>
    <w:r>
      <w:rPr>
        <w:sz w:val="20"/>
      </w:rPr>
      <w:tab/>
    </w:r>
    <w:r w:rsidRPr="008C3053">
      <w:rPr>
        <w:szCs w:val="24"/>
      </w:rPr>
      <w:t xml:space="preserve">Page </w:t>
    </w:r>
    <w:r w:rsidRPr="008C3053">
      <w:rPr>
        <w:bCs/>
        <w:szCs w:val="24"/>
      </w:rPr>
      <w:fldChar w:fldCharType="begin"/>
    </w:r>
    <w:r w:rsidRPr="008C3053">
      <w:rPr>
        <w:bCs/>
        <w:szCs w:val="24"/>
      </w:rPr>
      <w:instrText xml:space="preserve"> PAGE </w:instrText>
    </w:r>
    <w:r w:rsidRPr="008C3053">
      <w:rPr>
        <w:bCs/>
        <w:szCs w:val="24"/>
      </w:rPr>
      <w:fldChar w:fldCharType="separate"/>
    </w:r>
    <w:r w:rsidR="00B215EA">
      <w:rPr>
        <w:bCs/>
        <w:noProof/>
        <w:szCs w:val="24"/>
      </w:rPr>
      <w:t>1</w:t>
    </w:r>
    <w:r w:rsidRPr="008C3053">
      <w:rPr>
        <w:bCs/>
        <w:szCs w:val="24"/>
      </w:rPr>
      <w:fldChar w:fldCharType="end"/>
    </w:r>
    <w:r w:rsidRPr="008C3053">
      <w:rPr>
        <w:szCs w:val="24"/>
      </w:rPr>
      <w:t xml:space="preserve"> of </w:t>
    </w:r>
    <w:r w:rsidRPr="008C3053">
      <w:rPr>
        <w:bCs/>
        <w:szCs w:val="24"/>
      </w:rPr>
      <w:fldChar w:fldCharType="begin"/>
    </w:r>
    <w:r w:rsidRPr="008C3053">
      <w:rPr>
        <w:bCs/>
        <w:szCs w:val="24"/>
      </w:rPr>
      <w:instrText xml:space="preserve"> NUMPAGES  </w:instrText>
    </w:r>
    <w:r w:rsidRPr="008C3053">
      <w:rPr>
        <w:bCs/>
        <w:szCs w:val="24"/>
      </w:rPr>
      <w:fldChar w:fldCharType="separate"/>
    </w:r>
    <w:r w:rsidR="00B215EA">
      <w:rPr>
        <w:bCs/>
        <w:noProof/>
        <w:szCs w:val="24"/>
      </w:rPr>
      <w:t>3</w:t>
    </w:r>
    <w:r w:rsidRPr="008C3053">
      <w:rPr>
        <w:bCs/>
        <w:szCs w:val="24"/>
      </w:rPr>
      <w:fldChar w:fldCharType="end"/>
    </w:r>
  </w:p>
  <w:p w14:paraId="32E9FB23" w14:textId="77777777" w:rsidR="005E118E" w:rsidRPr="00BB7298" w:rsidRDefault="00060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0AEB8" w14:textId="77777777" w:rsidR="00060182" w:rsidRDefault="00060182">
      <w:pPr>
        <w:spacing w:line="240" w:lineRule="auto"/>
      </w:pPr>
      <w:r>
        <w:separator/>
      </w:r>
    </w:p>
  </w:footnote>
  <w:footnote w:type="continuationSeparator" w:id="0">
    <w:p w14:paraId="65921F4E" w14:textId="77777777" w:rsidR="00060182" w:rsidRDefault="000601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FD5AA" w14:textId="77777777" w:rsidR="005E118E" w:rsidRDefault="001B44B6">
    <w:pPr>
      <w:pStyle w:val="Header"/>
    </w:pPr>
    <w:r>
      <w:rPr>
        <w:noProof/>
      </w:rPr>
      <w:drawing>
        <wp:inline distT="0" distB="0" distL="0" distR="0" wp14:anchorId="57AB7CAC" wp14:editId="68DAA534">
          <wp:extent cx="6046470" cy="1351280"/>
          <wp:effectExtent l="0" t="0" r="0" b="1270"/>
          <wp:docPr id="1" name="Picture 1" descr="DLG Letterhead short  07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G Letterhead short  0717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6470" cy="1351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573F9"/>
    <w:multiLevelType w:val="hybridMultilevel"/>
    <w:tmpl w:val="59325E7C"/>
    <w:lvl w:ilvl="0" w:tplc="FFFFFFFF">
      <w:start w:val="1"/>
      <w:numFmt w:val="decimal"/>
      <w:pStyle w:val="MRBNormalText"/>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43E73CF"/>
    <w:multiLevelType w:val="hybridMultilevel"/>
    <w:tmpl w:val="3EFA58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965"/>
    <w:rsid w:val="00060182"/>
    <w:rsid w:val="00183865"/>
    <w:rsid w:val="001B44B6"/>
    <w:rsid w:val="003375A4"/>
    <w:rsid w:val="00372E66"/>
    <w:rsid w:val="00374B1D"/>
    <w:rsid w:val="00643965"/>
    <w:rsid w:val="006D6A22"/>
    <w:rsid w:val="00766252"/>
    <w:rsid w:val="00787EBE"/>
    <w:rsid w:val="00A46512"/>
    <w:rsid w:val="00B215EA"/>
    <w:rsid w:val="00CB1BB6"/>
    <w:rsid w:val="00DF3E62"/>
    <w:rsid w:val="00EB1E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D56D"/>
  <w15:docId w15:val="{C2F1A88F-887D-4764-A1ED-ACC0C880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B6"/>
    <w:pPr>
      <w:spacing w:after="0" w:line="48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B44B6"/>
    <w:pPr>
      <w:tabs>
        <w:tab w:val="center" w:pos="4320"/>
        <w:tab w:val="right" w:pos="8640"/>
      </w:tabs>
    </w:pPr>
  </w:style>
  <w:style w:type="character" w:customStyle="1" w:styleId="HeaderChar">
    <w:name w:val="Header Char"/>
    <w:basedOn w:val="DefaultParagraphFont"/>
    <w:link w:val="Header"/>
    <w:rsid w:val="001B44B6"/>
    <w:rPr>
      <w:rFonts w:ascii="Times New Roman" w:eastAsia="Times New Roman" w:hAnsi="Times New Roman" w:cs="Times New Roman"/>
      <w:sz w:val="24"/>
      <w:szCs w:val="20"/>
    </w:rPr>
  </w:style>
  <w:style w:type="paragraph" w:styleId="Footer">
    <w:name w:val="footer"/>
    <w:basedOn w:val="Normal"/>
    <w:link w:val="FooterChar"/>
    <w:uiPriority w:val="99"/>
    <w:rsid w:val="001B44B6"/>
    <w:pPr>
      <w:tabs>
        <w:tab w:val="center" w:pos="4320"/>
        <w:tab w:val="right" w:pos="8640"/>
      </w:tabs>
    </w:pPr>
  </w:style>
  <w:style w:type="character" w:customStyle="1" w:styleId="FooterChar">
    <w:name w:val="Footer Char"/>
    <w:basedOn w:val="DefaultParagraphFont"/>
    <w:link w:val="Footer"/>
    <w:uiPriority w:val="99"/>
    <w:rsid w:val="001B44B6"/>
    <w:rPr>
      <w:rFonts w:ascii="Times New Roman" w:eastAsia="Times New Roman" w:hAnsi="Times New Roman" w:cs="Times New Roman"/>
      <w:sz w:val="24"/>
      <w:szCs w:val="20"/>
    </w:rPr>
  </w:style>
  <w:style w:type="character" w:styleId="PageNumber">
    <w:name w:val="page number"/>
    <w:basedOn w:val="DefaultParagraphFont"/>
    <w:rsid w:val="001B44B6"/>
  </w:style>
  <w:style w:type="paragraph" w:customStyle="1" w:styleId="MRBNormalText">
    <w:name w:val="MRB Normal Text"/>
    <w:basedOn w:val="Normal"/>
    <w:qFormat/>
    <w:rsid w:val="001B44B6"/>
    <w:pPr>
      <w:widowControl w:val="0"/>
      <w:numPr>
        <w:numId w:val="1"/>
      </w:numPr>
      <w:autoSpaceDE w:val="0"/>
      <w:autoSpaceDN w:val="0"/>
      <w:adjustRightInd w:val="0"/>
      <w:ind w:left="0" w:firstLine="720"/>
    </w:pPr>
    <w:rPr>
      <w:szCs w:val="24"/>
    </w:rPr>
  </w:style>
  <w:style w:type="paragraph" w:styleId="BalloonText">
    <w:name w:val="Balloon Text"/>
    <w:basedOn w:val="Normal"/>
    <w:link w:val="BalloonTextChar"/>
    <w:uiPriority w:val="99"/>
    <w:semiHidden/>
    <w:unhideWhenUsed/>
    <w:rsid w:val="001B44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4B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DEBEC5-2097-4DF1-9F81-70A07D65EB8D}"/>
</file>

<file path=customXml/itemProps2.xml><?xml version="1.0" encoding="utf-8"?>
<ds:datastoreItem xmlns:ds="http://schemas.openxmlformats.org/officeDocument/2006/customXml" ds:itemID="{52F0DAC1-39B1-4A4F-9259-0E55E96A4D82}"/>
</file>

<file path=customXml/itemProps3.xml><?xml version="1.0" encoding="utf-8"?>
<ds:datastoreItem xmlns:ds="http://schemas.openxmlformats.org/officeDocument/2006/customXml" ds:itemID="{8B4CB158-15B7-4805-921B-7CE13E923D6B}"/>
</file>

<file path=docProps/app.xml><?xml version="1.0" encoding="utf-8"?>
<Properties xmlns="http://schemas.openxmlformats.org/officeDocument/2006/extended-properties" xmlns:vt="http://schemas.openxmlformats.org/officeDocument/2006/docPropsVTypes">
  <Template>Normal.dotm</Template>
  <TotalTime>2</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Nickerson x3557</dc:creator>
  <cp:lastModifiedBy>Morgan Riley x5453</cp:lastModifiedBy>
  <cp:revision>7</cp:revision>
  <dcterms:created xsi:type="dcterms:W3CDTF">2021-03-31T17:28:00Z</dcterms:created>
  <dcterms:modified xsi:type="dcterms:W3CDTF">2021-07-12T03:13:00Z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