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2651B" w14:textId="77777777" w:rsidR="00597BB3" w:rsidRPr="00597BB3" w:rsidRDefault="007921E8" w:rsidP="00597BB3">
      <w:pPr>
        <w:jc w:val="center"/>
        <w:rPr>
          <w:b/>
          <w:bCs/>
          <w:lang w:val="es-MX"/>
        </w:rPr>
      </w:pPr>
      <w:r w:rsidRPr="00597BB3">
        <w:rPr>
          <w:b/>
          <w:bCs/>
          <w:lang w:val="es-MX"/>
        </w:rPr>
        <w:t>Textos de productos YAK</w:t>
      </w:r>
    </w:p>
    <w:p w14:paraId="15B5F490" w14:textId="34E1C7F7" w:rsidR="007921E8" w:rsidRDefault="00597BB3" w:rsidP="00597BB3">
      <w:pPr>
        <w:jc w:val="both"/>
        <w:rPr>
          <w:rFonts w:eastAsia="Times New Roman" w:cstheme="minorHAnsi"/>
          <w:b/>
          <w:bCs/>
          <w:color w:val="111C2D"/>
          <w:spacing w:val="-6"/>
          <w:kern w:val="36"/>
          <w:sz w:val="24"/>
          <w:szCs w:val="24"/>
          <w:lang w:eastAsia="es-CO"/>
        </w:rPr>
      </w:pPr>
      <w:r w:rsidRPr="00597BB3">
        <w:rPr>
          <w:rFonts w:eastAsia="Times New Roman" w:cstheme="minorHAnsi"/>
          <w:b/>
          <w:bCs/>
          <w:color w:val="111C2D"/>
          <w:spacing w:val="-6"/>
          <w:kern w:val="36"/>
          <w:sz w:val="24"/>
          <w:szCs w:val="24"/>
          <w:lang w:eastAsia="es-CO"/>
        </w:rPr>
        <w:t>Loandig Houese</w:t>
      </w:r>
      <w:r>
        <w:rPr>
          <w:rFonts w:eastAsia="Times New Roman" w:cstheme="minorHAnsi"/>
          <w:b/>
          <w:bCs/>
          <w:color w:val="111C2D"/>
          <w:spacing w:val="-6"/>
          <w:kern w:val="36"/>
          <w:sz w:val="24"/>
          <w:szCs w:val="24"/>
          <w:lang w:eastAsia="es-CO"/>
        </w:rPr>
        <w:t xml:space="preserve">: </w:t>
      </w:r>
      <w:r w:rsidRPr="00597BB3">
        <w:rPr>
          <w:rFonts w:eastAsia="Times New Roman" w:cstheme="minorHAnsi"/>
          <w:color w:val="111C2D"/>
          <w:spacing w:val="-6"/>
          <w:kern w:val="36"/>
          <w:sz w:val="24"/>
          <w:szCs w:val="24"/>
          <w:lang w:eastAsia="es-CO"/>
        </w:rPr>
        <w:t xml:space="preserve">en estas hay que remplazar todas las fotos que son las mismas, pero de mejor calidad y la </w:t>
      </w:r>
      <w:r>
        <w:rPr>
          <w:rFonts w:eastAsia="Times New Roman" w:cstheme="minorHAnsi"/>
          <w:color w:val="111C2D"/>
          <w:spacing w:val="-6"/>
          <w:kern w:val="36"/>
          <w:sz w:val="24"/>
          <w:szCs w:val="24"/>
          <w:lang w:eastAsia="es-CO"/>
        </w:rPr>
        <w:t>que</w:t>
      </w:r>
      <w:r w:rsidRPr="00597BB3">
        <w:rPr>
          <w:rFonts w:eastAsia="Times New Roman" w:cstheme="minorHAnsi"/>
          <w:color w:val="111C2D"/>
          <w:spacing w:val="-6"/>
          <w:kern w:val="36"/>
          <w:sz w:val="24"/>
          <w:szCs w:val="24"/>
          <w:lang w:eastAsia="es-CO"/>
        </w:rPr>
        <w:t xml:space="preserve"> esta con el circulo de prohibido quitarla de la sección</w:t>
      </w:r>
      <w:r>
        <w:rPr>
          <w:rFonts w:eastAsia="Times New Roman" w:cstheme="minorHAnsi"/>
          <w:color w:val="111C2D"/>
          <w:spacing w:val="-6"/>
          <w:kern w:val="36"/>
          <w:sz w:val="24"/>
          <w:szCs w:val="24"/>
          <w:lang w:eastAsia="es-CO"/>
        </w:rPr>
        <w:t>.</w:t>
      </w:r>
      <w:r>
        <w:rPr>
          <w:rFonts w:eastAsia="Times New Roman" w:cstheme="minorHAnsi"/>
          <w:b/>
          <w:bCs/>
          <w:color w:val="111C2D"/>
          <w:spacing w:val="-6"/>
          <w:kern w:val="36"/>
          <w:sz w:val="24"/>
          <w:szCs w:val="24"/>
          <w:lang w:eastAsia="es-CO"/>
        </w:rPr>
        <w:t xml:space="preserve"> </w:t>
      </w:r>
    </w:p>
    <w:p w14:paraId="43E0BEF2" w14:textId="55F894A4" w:rsidR="00597BB3" w:rsidRDefault="00597BB3" w:rsidP="00597BB3">
      <w:pPr>
        <w:jc w:val="both"/>
        <w:rPr>
          <w:rFonts w:eastAsia="Times New Roman" w:cstheme="minorHAnsi"/>
          <w:b/>
          <w:bCs/>
          <w:color w:val="111C2D"/>
          <w:spacing w:val="-6"/>
          <w:kern w:val="36"/>
          <w:sz w:val="24"/>
          <w:szCs w:val="24"/>
          <w:lang w:eastAsia="es-CO"/>
        </w:rPr>
      </w:pPr>
      <w:r w:rsidRPr="00597BB3">
        <w:rPr>
          <w:rFonts w:cstheme="minorHAnsi"/>
          <w:b/>
          <w:bCs/>
          <w:noProof/>
          <w:sz w:val="10"/>
          <w:szCs w:val="10"/>
          <w:lang w:val="es-MX"/>
        </w:rPr>
        <w:drawing>
          <wp:anchor distT="0" distB="0" distL="114300" distR="114300" simplePos="0" relativeHeight="251659264" behindDoc="0" locked="0" layoutInCell="1" allowOverlap="1" wp14:anchorId="335AF643" wp14:editId="5BE8D8D9">
            <wp:simplePos x="0" y="0"/>
            <wp:positionH relativeFrom="margin">
              <wp:posOffset>-32385</wp:posOffset>
            </wp:positionH>
            <wp:positionV relativeFrom="paragraph">
              <wp:posOffset>130810</wp:posOffset>
            </wp:positionV>
            <wp:extent cx="4267200" cy="2462403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3221" cy="24658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2A95E5" w14:textId="6E102A56" w:rsidR="00597BB3" w:rsidRDefault="00597BB3" w:rsidP="00597BB3">
      <w:pPr>
        <w:jc w:val="both"/>
        <w:rPr>
          <w:rFonts w:eastAsia="Times New Roman" w:cstheme="minorHAnsi"/>
          <w:b/>
          <w:bCs/>
          <w:color w:val="111C2D"/>
          <w:spacing w:val="-6"/>
          <w:kern w:val="36"/>
          <w:sz w:val="24"/>
          <w:szCs w:val="24"/>
          <w:lang w:eastAsia="es-CO"/>
        </w:rPr>
      </w:pPr>
    </w:p>
    <w:p w14:paraId="1A118277" w14:textId="28D2F648" w:rsidR="00597BB3" w:rsidRDefault="00597BB3" w:rsidP="00597BB3">
      <w:pPr>
        <w:jc w:val="both"/>
        <w:rPr>
          <w:rFonts w:eastAsia="Times New Roman" w:cstheme="minorHAnsi"/>
          <w:b/>
          <w:bCs/>
          <w:color w:val="111C2D"/>
          <w:spacing w:val="-6"/>
          <w:kern w:val="36"/>
          <w:sz w:val="24"/>
          <w:szCs w:val="24"/>
          <w:lang w:eastAsia="es-CO"/>
        </w:rPr>
      </w:pPr>
    </w:p>
    <w:p w14:paraId="60EBE2A1" w14:textId="63675A9A" w:rsidR="00597BB3" w:rsidRDefault="00597BB3" w:rsidP="00597BB3">
      <w:pPr>
        <w:jc w:val="both"/>
        <w:rPr>
          <w:rFonts w:eastAsia="Times New Roman" w:cstheme="minorHAnsi"/>
          <w:b/>
          <w:bCs/>
          <w:color w:val="111C2D"/>
          <w:spacing w:val="-6"/>
          <w:kern w:val="36"/>
          <w:sz w:val="24"/>
          <w:szCs w:val="24"/>
          <w:lang w:eastAsia="es-CO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BC231F" wp14:editId="5DF5346D">
                <wp:simplePos x="0" y="0"/>
                <wp:positionH relativeFrom="margin">
                  <wp:posOffset>209550</wp:posOffset>
                </wp:positionH>
                <wp:positionV relativeFrom="paragraph">
                  <wp:posOffset>146050</wp:posOffset>
                </wp:positionV>
                <wp:extent cx="619125" cy="723900"/>
                <wp:effectExtent l="0" t="0" r="28575" b="19050"/>
                <wp:wrapNone/>
                <wp:docPr id="4" name="Símbolo &quot;No permitido&quot;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723900"/>
                        </a:xfrm>
                        <a:prstGeom prst="noSmoking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37254E" id="_x0000_t57" coordsize="21600,21600" o:spt="57" adj="2700" path="m,10800qy10800,,21600,10800,10800,21600,,10800xar@0@0@16@16@12@14@15@13xar@0@0@16@16@13@15@14@12xe">
                <v:stroke joinstyle="miter"/>
                <v:formulas>
                  <v:f eqn="val #0"/>
                  <v:f eqn="prod @0 2 1"/>
                  <v:f eqn="sum 21600 0 @1"/>
                  <v:f eqn="prod @2 @2 1"/>
                  <v:f eqn="prod @0 @0 1"/>
                  <v:f eqn="sum @3 0 @4"/>
                  <v:f eqn="prod @5 1 8"/>
                  <v:f eqn="sqrt @6"/>
                  <v:f eqn="prod @4 1 8"/>
                  <v:f eqn="sqrt @8"/>
                  <v:f eqn="sum @7 @9 0"/>
                  <v:f eqn="sum @7 0 @9"/>
                  <v:f eqn="sum @10 10800 0"/>
                  <v:f eqn="sum 10800 0 @10"/>
                  <v:f eqn="sum @11 10800 0"/>
                  <v:f eqn="sum 10800 0 @11"/>
                  <v:f eqn="sum 21600 0 @0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7200"/>
                </v:handles>
              </v:shapetype>
              <v:shape id="Símbolo &quot;No permitido&quot; 4" o:spid="_x0000_s1026" type="#_x0000_t57" style="position:absolute;margin-left:16.5pt;margin-top:11.5pt;width:48.75pt;height:57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" adj="4050" filled="f" strokecolor="red" strokeweight="1pt">
                <w10:wrap anchorx="margin"/>
              </v:shape>
            </w:pict>
          </mc:Fallback>
        </mc:AlternateContent>
      </w:r>
    </w:p>
    <w:p w14:paraId="070DF224" w14:textId="77777777" w:rsidR="00597BB3" w:rsidRDefault="00597BB3" w:rsidP="00597BB3">
      <w:pPr>
        <w:jc w:val="both"/>
        <w:rPr>
          <w:rFonts w:cstheme="minorHAnsi"/>
          <w:b/>
          <w:bCs/>
          <w:sz w:val="10"/>
          <w:szCs w:val="10"/>
          <w:lang w:val="es-MX"/>
        </w:rPr>
      </w:pPr>
    </w:p>
    <w:p w14:paraId="0568C1AC" w14:textId="1509A560" w:rsidR="00597BB3" w:rsidRDefault="00597BB3" w:rsidP="00597BB3">
      <w:pPr>
        <w:jc w:val="both"/>
        <w:rPr>
          <w:rFonts w:cstheme="minorHAnsi"/>
          <w:b/>
          <w:bCs/>
          <w:sz w:val="10"/>
          <w:szCs w:val="10"/>
          <w:lang w:val="es-MX"/>
        </w:rPr>
      </w:pPr>
    </w:p>
    <w:p w14:paraId="450BD3F3" w14:textId="16FAFE23" w:rsidR="00597BB3" w:rsidRDefault="00597BB3" w:rsidP="00597BB3">
      <w:pPr>
        <w:jc w:val="both"/>
        <w:rPr>
          <w:rFonts w:cstheme="minorHAnsi"/>
          <w:b/>
          <w:bCs/>
          <w:sz w:val="10"/>
          <w:szCs w:val="10"/>
          <w:lang w:val="es-MX"/>
        </w:rPr>
      </w:pPr>
    </w:p>
    <w:p w14:paraId="2AF925BE" w14:textId="2F338167" w:rsidR="00597BB3" w:rsidRDefault="00597BB3" w:rsidP="00597BB3">
      <w:pPr>
        <w:jc w:val="both"/>
        <w:rPr>
          <w:rFonts w:cstheme="minorHAnsi"/>
          <w:b/>
          <w:bCs/>
          <w:sz w:val="10"/>
          <w:szCs w:val="10"/>
          <w:lang w:val="es-MX"/>
        </w:rPr>
      </w:pPr>
    </w:p>
    <w:p w14:paraId="634ED256" w14:textId="20B37229" w:rsidR="00597BB3" w:rsidRDefault="00597BB3" w:rsidP="00597BB3">
      <w:pPr>
        <w:jc w:val="both"/>
        <w:rPr>
          <w:rFonts w:cstheme="minorHAnsi"/>
          <w:b/>
          <w:bCs/>
          <w:sz w:val="10"/>
          <w:szCs w:val="10"/>
          <w:lang w:val="es-MX"/>
        </w:rPr>
      </w:pPr>
    </w:p>
    <w:p w14:paraId="1FEE2513" w14:textId="77777777" w:rsidR="00597BB3" w:rsidRDefault="00597BB3" w:rsidP="00597BB3">
      <w:pPr>
        <w:jc w:val="both"/>
        <w:rPr>
          <w:rFonts w:cstheme="minorHAnsi"/>
          <w:b/>
          <w:bCs/>
          <w:sz w:val="10"/>
          <w:szCs w:val="10"/>
          <w:lang w:val="es-MX"/>
        </w:rPr>
      </w:pPr>
    </w:p>
    <w:p w14:paraId="40EB94D6" w14:textId="1432C47E" w:rsidR="00597BB3" w:rsidRDefault="00597BB3" w:rsidP="00597BB3">
      <w:pPr>
        <w:jc w:val="both"/>
        <w:rPr>
          <w:rFonts w:cstheme="minorHAnsi"/>
          <w:b/>
          <w:bCs/>
          <w:sz w:val="10"/>
          <w:szCs w:val="10"/>
          <w:lang w:val="es-MX"/>
        </w:rPr>
      </w:pPr>
    </w:p>
    <w:p w14:paraId="75EB004C" w14:textId="77777777" w:rsidR="00597BB3" w:rsidRDefault="00597BB3" w:rsidP="00597BB3">
      <w:pPr>
        <w:jc w:val="both"/>
        <w:rPr>
          <w:rFonts w:cstheme="minorHAnsi"/>
          <w:b/>
          <w:bCs/>
          <w:sz w:val="10"/>
          <w:szCs w:val="10"/>
          <w:lang w:val="es-MX"/>
        </w:rPr>
      </w:pPr>
    </w:p>
    <w:p w14:paraId="027CD567" w14:textId="709C6C55" w:rsidR="00597BB3" w:rsidRDefault="00597BB3" w:rsidP="00597BB3">
      <w:pPr>
        <w:rPr>
          <w:rFonts w:eastAsia="Times New Roman" w:cstheme="minorHAnsi"/>
          <w:b/>
          <w:bCs/>
          <w:color w:val="111C2D"/>
          <w:spacing w:val="-6"/>
          <w:kern w:val="36"/>
          <w:sz w:val="24"/>
          <w:szCs w:val="24"/>
          <w:lang w:eastAsia="es-CO"/>
        </w:rPr>
      </w:pPr>
      <w:r>
        <w:rPr>
          <w:rFonts w:eastAsia="Times New Roman" w:cstheme="minorHAnsi"/>
          <w:b/>
          <w:bCs/>
          <w:color w:val="111C2D"/>
          <w:spacing w:val="-6"/>
          <w:kern w:val="36"/>
          <w:sz w:val="24"/>
          <w:szCs w:val="24"/>
          <w:lang w:eastAsia="es-CO"/>
        </w:rPr>
        <w:t>Plataformas:</w:t>
      </w:r>
    </w:p>
    <w:p w14:paraId="3BF4F52F" w14:textId="28E04E23" w:rsidR="00597BB3" w:rsidRDefault="00597BB3" w:rsidP="00597BB3">
      <w:r>
        <w:rPr>
          <w:rFonts w:eastAsia="Times New Roman" w:cstheme="minorHAnsi"/>
          <w:b/>
          <w:bCs/>
          <w:color w:val="111C2D"/>
          <w:spacing w:val="-6"/>
          <w:kern w:val="36"/>
          <w:sz w:val="24"/>
          <w:szCs w:val="24"/>
          <w:lang w:eastAsia="es-CO"/>
        </w:rPr>
        <w:t xml:space="preserve">Abatibles: </w:t>
      </w:r>
      <w:r w:rsidR="00356EC4">
        <w:rPr>
          <w:rFonts w:eastAsia="Times New Roman" w:cstheme="minorHAnsi"/>
          <w:b/>
          <w:bCs/>
          <w:color w:val="111C2D"/>
          <w:spacing w:val="-6"/>
          <w:kern w:val="36"/>
          <w:sz w:val="24"/>
          <w:szCs w:val="24"/>
          <w:lang w:eastAsia="es-CO"/>
        </w:rPr>
        <w:br/>
      </w:r>
      <w:r w:rsidR="00356EC4">
        <w:rPr>
          <w:rStyle w:val="Textoennegrita"/>
        </w:rPr>
        <w:t>Plataforma abatible de accionamiento hidráulico</w:t>
      </w:r>
      <w:r w:rsidR="00356EC4">
        <w:t xml:space="preserve"> equipada con doble cilindro de elevación para una operación estable y uniforme, sistema hidráulico-eléctrico </w:t>
      </w:r>
      <w:r w:rsidR="00356EC4">
        <w:rPr>
          <w:rStyle w:val="Textoennegrita"/>
        </w:rPr>
        <w:t>BUCHER (Suiza)</w:t>
      </w:r>
      <w:r w:rsidR="00356EC4">
        <w:t xml:space="preserve"> con componentes de sellado </w:t>
      </w:r>
      <w:r w:rsidR="00356EC4">
        <w:rPr>
          <w:rStyle w:val="Textoennegrita"/>
        </w:rPr>
        <w:t>NOK (Japón)</w:t>
      </w:r>
      <w:r w:rsidR="00356EC4">
        <w:t xml:space="preserve"> y válvula de seguridad anticaída que detiene automáticamente el descenso en caso de retiro inesperado del vehículo, minimizando riesgos operativos. Incorpora un labio abatible de </w:t>
      </w:r>
      <w:r w:rsidR="00356EC4">
        <w:rPr>
          <w:rStyle w:val="Textoennegrita"/>
        </w:rPr>
        <w:t>400 mm</w:t>
      </w:r>
      <w:r w:rsidR="00356EC4">
        <w:t xml:space="preserve"> fabricado en acero estructural </w:t>
      </w:r>
      <w:r w:rsidR="00356EC4">
        <w:rPr>
          <w:rStyle w:val="Textoennegrita"/>
        </w:rPr>
        <w:t>Q345 de 16 mm</w:t>
      </w:r>
      <w:r w:rsidR="00356EC4">
        <w:t xml:space="preserve">, con superficie antideslizante y bisagras de alta resistencia para un acople seguro y confiable. La plataforma está construida con placa de acero de </w:t>
      </w:r>
      <w:r w:rsidR="00356EC4">
        <w:rPr>
          <w:rStyle w:val="Textoennegrita"/>
        </w:rPr>
        <w:t>8 mm</w:t>
      </w:r>
      <w:r w:rsidR="00356EC4">
        <w:t xml:space="preserve"> de alta calidad y un bastidor reforzado con perfiles estructurales tipo </w:t>
      </w:r>
      <w:r w:rsidR="00356EC4">
        <w:rPr>
          <w:rStyle w:val="Textoennegrita"/>
        </w:rPr>
        <w:t>C</w:t>
      </w:r>
      <w:r w:rsidR="00356EC4">
        <w:t>, lo que proporciona una mayor capacidad de carga, resistencia y durabilidad. Además, cuenta con protección lateral para los pies del operador y un diseño de transición suave entre la plataforma y el labio, facilitando el desplazamiento seguro de montacargas y reduciendo el impacto sobre el equipo durante las operaciones de carga y descarga.</w:t>
      </w:r>
    </w:p>
    <w:p w14:paraId="1D76A413" w14:textId="40226F27" w:rsidR="00356EC4" w:rsidRDefault="00356EC4" w:rsidP="00597BB3">
      <w:r w:rsidRPr="00356EC4">
        <w:rPr>
          <w:b/>
          <w:bCs/>
        </w:rPr>
        <w:t>Mini Dock:</w:t>
      </w:r>
      <w:r>
        <w:br/>
      </w:r>
      <w:r>
        <w:rPr>
          <w:rStyle w:val="Textoennegrita"/>
        </w:rPr>
        <w:t>Nivelador mecánico de borde de muelle</w:t>
      </w:r>
      <w:r>
        <w:t xml:space="preserve"> diseñado para ofrecer una solución económica, segura y confiable en operaciones de carga y descarga. Fabricado en acero de alta resistencia con superficie antideslizante, incorpora bisagra continua lubricable, resorte de torsión para un accionamiento suave y sistema de operación manual mediante barra de elevación. Su estructura reforzada, junto con topes de protección y parachoques de caucho, garantiza mayor durabilidad, seguridad y un acople eficiente con diferentes tipos de vehículos.</w:t>
      </w:r>
    </w:p>
    <w:p w14:paraId="040F0E3A" w14:textId="77777777" w:rsidR="008B6ECE" w:rsidRPr="00597BB3" w:rsidRDefault="008B6ECE" w:rsidP="00597BB3">
      <w:pPr>
        <w:rPr>
          <w:b/>
          <w:bCs/>
          <w:lang w:val="es-MX"/>
        </w:rPr>
      </w:pPr>
    </w:p>
    <w:p w14:paraId="23FDF007" w14:textId="5FEDFA82" w:rsidR="00597BB3" w:rsidRDefault="00597BB3" w:rsidP="00597BB3">
      <w:pPr>
        <w:rPr>
          <w:rFonts w:eastAsia="Times New Roman" w:cstheme="minorHAnsi"/>
          <w:b/>
          <w:bCs/>
          <w:color w:val="111C2D"/>
          <w:spacing w:val="-6"/>
          <w:kern w:val="36"/>
          <w:sz w:val="24"/>
          <w:szCs w:val="24"/>
          <w:lang w:eastAsia="es-CO"/>
        </w:rPr>
      </w:pPr>
    </w:p>
    <w:p w14:paraId="47B02F62" w14:textId="3A9F452B" w:rsidR="00597BB3" w:rsidRPr="00597BB3" w:rsidRDefault="00597BB3" w:rsidP="00597BB3">
      <w:pPr>
        <w:jc w:val="both"/>
        <w:rPr>
          <w:rFonts w:cstheme="minorHAnsi"/>
          <w:b/>
          <w:bCs/>
          <w:sz w:val="16"/>
          <w:szCs w:val="16"/>
          <w:lang w:val="es-MX"/>
        </w:rPr>
      </w:pPr>
    </w:p>
    <w:p w14:paraId="7E25E824" w14:textId="6339D85D" w:rsidR="007921E8" w:rsidRDefault="007921E8" w:rsidP="007921E8">
      <w:pPr>
        <w:jc w:val="center"/>
        <w:rPr>
          <w:lang w:val="es-MX"/>
        </w:rPr>
      </w:pPr>
    </w:p>
    <w:p w14:paraId="4BF7B992" w14:textId="62DBFA22" w:rsidR="00356EC4" w:rsidRPr="00356EC4" w:rsidRDefault="00356EC4" w:rsidP="00356EC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 w:rsidRPr="00356EC4">
        <w:rPr>
          <w:rFonts w:cstheme="minorHAnsi"/>
          <w:b/>
          <w:bCs/>
        </w:rPr>
        <w:t>telescópicas.</w:t>
      </w:r>
    </w:p>
    <w:p w14:paraId="50204701" w14:textId="77777777" w:rsidR="008B6ECE" w:rsidRDefault="008B6ECE" w:rsidP="008B6ECE">
      <w:pPr>
        <w:pStyle w:val="Ttulo3"/>
      </w:pPr>
      <w:r>
        <w:t>Plataforma Niveladora Telescópica de Doble Cilindro</w:t>
      </w:r>
    </w:p>
    <w:p w14:paraId="0150D8B2" w14:textId="77777777" w:rsidR="008B6ECE" w:rsidRDefault="008B6ECE" w:rsidP="008B6ECE">
      <w:pPr>
        <w:pStyle w:val="NormalWeb"/>
      </w:pPr>
      <w:r>
        <w:t xml:space="preserve">La </w:t>
      </w:r>
      <w:r>
        <w:rPr>
          <w:rStyle w:val="Textoennegrita"/>
          <w:rFonts w:eastAsiaTheme="majorEastAsia"/>
        </w:rPr>
        <w:t>plataforma niveladora telescópica de doble cilindro YAK</w:t>
      </w:r>
      <w:r>
        <w:t xml:space="preserve"> está diseñada para optimizar las operaciones de carga y descarga en centros de distribución, plantas industriales y bodegas con alta rotación de mercancías. Su labio telescópico de extensión hidráulica permite un posicionamiento preciso sobre el vehículo, facilitando la atención de diferentes tipos de remolques y reduciendo los tiempos de operación.</w:t>
      </w:r>
    </w:p>
    <w:p w14:paraId="1595C449" w14:textId="77777777" w:rsidR="008B6ECE" w:rsidRDefault="008B6ECE" w:rsidP="008B6ECE">
      <w:pPr>
        <w:pStyle w:val="NormalWeb"/>
      </w:pPr>
      <w:r>
        <w:t xml:space="preserve">El sistema de </w:t>
      </w:r>
      <w:r>
        <w:rPr>
          <w:rStyle w:val="Textoennegrita"/>
          <w:rFonts w:eastAsiaTheme="majorEastAsia"/>
        </w:rPr>
        <w:t>doble cilindro hidráulico</w:t>
      </w:r>
      <w:r>
        <w:t xml:space="preserve"> proporciona una elevación estable, uniforme y segura de la plataforma, garantizando un funcionamiento confiable incluso en aplicaciones de trabajo intensivo. Su estructura de acero de alta resistencia está diseñada para soportar cargas dinámicas elevadas y ofrecer una larga vida útil con mínimos requerimientos de mantenimiento.</w:t>
      </w:r>
    </w:p>
    <w:p w14:paraId="2D97F106" w14:textId="77777777" w:rsidR="008B6ECE" w:rsidRDefault="008B6ECE" w:rsidP="008B6ECE">
      <w:pPr>
        <w:pStyle w:val="NormalWeb"/>
      </w:pPr>
      <w:r>
        <w:t>Gracias a su diseño versátil, la plataforma telescópica permite compensar diferencias de altura y distancia entre el muelle y el vehículo, aumentando la seguridad del personal y protegiendo la mercancía y los equipos de manipulación.</w:t>
      </w:r>
    </w:p>
    <w:p w14:paraId="3906439E" w14:textId="77777777" w:rsidR="008B6ECE" w:rsidRDefault="008B6ECE" w:rsidP="008B6ECE">
      <w:pPr>
        <w:pStyle w:val="Ttulo3"/>
      </w:pPr>
      <w:r>
        <w:t>Características principales</w:t>
      </w:r>
    </w:p>
    <w:p w14:paraId="405CCAB8" w14:textId="77777777" w:rsidR="008B6ECE" w:rsidRDefault="008B6ECE" w:rsidP="008B6EC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Labio telescópico de accionamiento hidráulico para un posicionamiento preciso. </w:t>
      </w:r>
    </w:p>
    <w:p w14:paraId="42D9CD8F" w14:textId="77777777" w:rsidR="008B6ECE" w:rsidRDefault="008B6ECE" w:rsidP="008B6EC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Sistema de elevación mediante doble cilindro hidráulico para mayor estabilidad y confiabilidad. </w:t>
      </w:r>
    </w:p>
    <w:p w14:paraId="38AFC330" w14:textId="77777777" w:rsidR="008B6ECE" w:rsidRDefault="008B6ECE" w:rsidP="008B6EC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Estructura fabricada en acero de alta resistencia para trabajo continuo. </w:t>
      </w:r>
    </w:p>
    <w:p w14:paraId="49DFD2EA" w14:textId="77777777" w:rsidR="008B6ECE" w:rsidRDefault="008B6ECE" w:rsidP="008B6EC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Compensación de diferencias de altura y separación entre el muelle y el vehículo. </w:t>
      </w:r>
    </w:p>
    <w:p w14:paraId="2AAB49FA" w14:textId="77777777" w:rsidR="008B6ECE" w:rsidRDefault="008B6ECE" w:rsidP="008B6EC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Operación rápida, segura y de fácil manejo mediante unidad electrohidráulica. </w:t>
      </w:r>
    </w:p>
    <w:p w14:paraId="0841D60A" w14:textId="77777777" w:rsidR="008B6ECE" w:rsidRDefault="008B6ECE" w:rsidP="008B6EC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Diseño de bajo mantenimiento y larga vida útil. </w:t>
      </w:r>
    </w:p>
    <w:p w14:paraId="60BCE56B" w14:textId="77777777" w:rsidR="008B6ECE" w:rsidRDefault="008B6ECE" w:rsidP="008B6EC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Compatible con una amplia variedad de camiones y remolques. </w:t>
      </w:r>
    </w:p>
    <w:p w14:paraId="49BA2505" w14:textId="77777777" w:rsidR="008B6ECE" w:rsidRDefault="008B6ECE" w:rsidP="008B6EC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Incrementa la productividad y la seguridad en las operaciones logísticas. </w:t>
      </w:r>
    </w:p>
    <w:p w14:paraId="052B00EB" w14:textId="77777777" w:rsidR="008B6ECE" w:rsidRDefault="008B6ECE" w:rsidP="008B6ECE">
      <w:pPr>
        <w:pStyle w:val="Ttulo3"/>
      </w:pPr>
      <w:r>
        <w:t>Aplicaciones</w:t>
      </w:r>
    </w:p>
    <w:p w14:paraId="5DCEF184" w14:textId="77777777" w:rsidR="008B6ECE" w:rsidRDefault="008B6ECE" w:rsidP="008B6ECE">
      <w:pPr>
        <w:pStyle w:val="NormalWeb"/>
      </w:pPr>
      <w:r>
        <w:t>Ideal para centros de distribución, industrias manufactureras, operadores logísticos, empresas de alimentos y bebidas, cadenas de retail, frigoríficos y cualquier instalación que requiera operaciones de carga y descarga eficientes, seguras y continuas.</w:t>
      </w:r>
    </w:p>
    <w:p w14:paraId="5EA4D5FF" w14:textId="77777777" w:rsidR="008B6ECE" w:rsidRPr="006B014D" w:rsidRDefault="008B6ECE" w:rsidP="00356EC4">
      <w:pPr>
        <w:jc w:val="both"/>
        <w:rPr>
          <w:rFonts w:cstheme="minorHAnsi"/>
          <w:b/>
          <w:bCs/>
        </w:rPr>
      </w:pPr>
    </w:p>
    <w:p w14:paraId="15E49CFC" w14:textId="77777777" w:rsidR="006B014D" w:rsidRPr="006B014D" w:rsidRDefault="00356EC4" w:rsidP="006B014D">
      <w:pPr>
        <w:jc w:val="both"/>
        <w:rPr>
          <w:rFonts w:cstheme="minorHAnsi"/>
          <w:b/>
          <w:bCs/>
          <w:lang w:val="es-MX"/>
        </w:rPr>
      </w:pPr>
      <w:r w:rsidRPr="006B014D">
        <w:rPr>
          <w:rFonts w:cstheme="minorHAnsi"/>
          <w:b/>
          <w:bCs/>
          <w:lang w:val="es-MX"/>
        </w:rPr>
        <w:t>Cortina de aire:</w:t>
      </w:r>
    </w:p>
    <w:p w14:paraId="5A7DAAE7" w14:textId="5DFB89DC" w:rsidR="00356EC4" w:rsidRPr="006B014D" w:rsidRDefault="00356EC4" w:rsidP="006B014D">
      <w:pPr>
        <w:jc w:val="both"/>
        <w:rPr>
          <w:rFonts w:cstheme="minorHAnsi"/>
          <w:lang w:val="es-MX"/>
        </w:rPr>
      </w:pPr>
      <w:r w:rsidRPr="006B014D">
        <w:rPr>
          <w:rStyle w:val="Textoennegrita"/>
          <w:rFonts w:cstheme="minorHAnsi"/>
          <w:color w:val="313842"/>
        </w:rPr>
        <w:t>Air Curtain</w:t>
      </w:r>
      <w:r w:rsidRPr="006B014D">
        <w:rPr>
          <w:rFonts w:cstheme="minorHAnsi"/>
          <w:color w:val="313842"/>
        </w:rPr>
        <w:t> es una </w:t>
      </w:r>
      <w:r w:rsidRPr="006B014D">
        <w:rPr>
          <w:rStyle w:val="Textoennegrita"/>
          <w:rFonts w:cstheme="minorHAnsi"/>
          <w:color w:val="313842"/>
        </w:rPr>
        <w:t>cortina de aire industrial</w:t>
      </w:r>
      <w:r w:rsidRPr="006B014D">
        <w:rPr>
          <w:rFonts w:cstheme="minorHAnsi"/>
          <w:color w:val="313842"/>
        </w:rPr>
        <w:t xml:space="preserve"> diseñada para separar diferentes entornos sin obstaculizar el movimiento de personas, vehículos y mercancías. Instalada sobre las aberturas, genera un flujo de aire uniforme y de alta velocidad que limita el intercambio de aire entre las zonas </w:t>
      </w:r>
      <w:r w:rsidRPr="006B014D">
        <w:rPr>
          <w:rFonts w:cstheme="minorHAnsi"/>
          <w:color w:val="313842"/>
        </w:rPr>
        <w:lastRenderedPageBreak/>
        <w:t>interiores y exteriores, ayudando a mantener condiciones climáticas e higiénicas estables en el lugar de trabajo.</w:t>
      </w:r>
    </w:p>
    <w:p w14:paraId="22124E24" w14:textId="7E671DC6" w:rsidR="00356EC4" w:rsidRDefault="00356EC4" w:rsidP="00356EC4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color w:val="313842"/>
        </w:rPr>
      </w:pPr>
      <w:r w:rsidRPr="006B014D">
        <w:rPr>
          <w:rFonts w:asciiTheme="minorHAnsi" w:hAnsiTheme="minorHAnsi" w:cstheme="minorHAnsi"/>
          <w:color w:val="313842"/>
        </w:rPr>
        <w:t>Con protección para aberturas de </w:t>
      </w:r>
      <w:r w:rsidRPr="006B014D">
        <w:rPr>
          <w:rStyle w:val="Textoennegrita"/>
          <w:rFonts w:asciiTheme="minorHAnsi" w:hAnsiTheme="minorHAnsi" w:cstheme="minorHAnsi"/>
          <w:color w:val="313842"/>
        </w:rPr>
        <w:t>hasta 4 metros de altura</w:t>
      </w:r>
      <w:r w:rsidRPr="006B014D">
        <w:rPr>
          <w:rFonts w:asciiTheme="minorHAnsi" w:hAnsiTheme="minorHAnsi" w:cstheme="minorHAnsi"/>
          <w:color w:val="313842"/>
        </w:rPr>
        <w:t> y un caudal de aire de hasta 3.709 m³/h, Air Curtain es una solución fiable para instalaciones industriales, almacenes logísticos, empresas alimentarias y entornos de producción que requieren </w:t>
      </w:r>
      <w:r w:rsidRPr="006B014D">
        <w:rPr>
          <w:rStyle w:val="Textoennegrita"/>
          <w:rFonts w:asciiTheme="minorHAnsi" w:hAnsiTheme="minorHAnsi" w:cstheme="minorHAnsi"/>
          <w:color w:val="313842"/>
        </w:rPr>
        <w:t>control de la contaminación, reducción de pérdidas energéticas</w:t>
      </w:r>
      <w:r w:rsidRPr="006B014D">
        <w:rPr>
          <w:rFonts w:asciiTheme="minorHAnsi" w:hAnsiTheme="minorHAnsi" w:cstheme="minorHAnsi"/>
          <w:color w:val="313842"/>
        </w:rPr>
        <w:t> y funcionamiento continuo.</w:t>
      </w:r>
    </w:p>
    <w:p w14:paraId="3999DC84" w14:textId="5A0FD8B0" w:rsidR="006B014D" w:rsidRPr="006B014D" w:rsidRDefault="006B014D" w:rsidP="006B014D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b/>
          <w:bCs/>
          <w:color w:val="313842"/>
        </w:rPr>
      </w:pPr>
      <w:r w:rsidRPr="006B014D">
        <w:rPr>
          <w:rFonts w:asciiTheme="minorHAnsi" w:hAnsiTheme="minorHAnsi" w:cstheme="minorHAnsi"/>
          <w:b/>
          <w:bCs/>
          <w:color w:val="313842"/>
        </w:rPr>
        <w:t>Puertas metálicas</w:t>
      </w:r>
      <w:r>
        <w:rPr>
          <w:rFonts w:asciiTheme="minorHAnsi" w:hAnsiTheme="minorHAnsi" w:cstheme="minorHAnsi"/>
          <w:b/>
          <w:bCs/>
          <w:color w:val="313842"/>
        </w:rPr>
        <w:br/>
      </w:r>
      <w:r w:rsidRPr="006B014D">
        <w:rPr>
          <w:rFonts w:asciiTheme="minorHAnsi" w:hAnsiTheme="minorHAnsi" w:cstheme="minorHAnsi"/>
        </w:rPr>
        <w:t xml:space="preserve">Nuestras </w:t>
      </w:r>
      <w:r w:rsidRPr="006B014D">
        <w:rPr>
          <w:rFonts w:asciiTheme="minorHAnsi" w:hAnsiTheme="minorHAnsi" w:cstheme="minorHAnsi"/>
          <w:b/>
          <w:bCs/>
        </w:rPr>
        <w:t>puertas enrollables</w:t>
      </w:r>
      <w:r w:rsidRPr="006B014D">
        <w:rPr>
          <w:rFonts w:asciiTheme="minorHAnsi" w:hAnsiTheme="minorHAnsi" w:cstheme="minorHAnsi"/>
        </w:rPr>
        <w:t xml:space="preserve"> se fabrican a la medida para brindar seguridad, resistencia y un óptimo desempeño en aplicaciones industriales y comerciales. Son ideales para bodegas, muelles de carga, locales comerciales, vitrinas y cualquier espacio que requiera un sistema de cierre confiable.</w:t>
      </w:r>
    </w:p>
    <w:p w14:paraId="5EAD8027" w14:textId="14120CE7" w:rsidR="006B014D" w:rsidRPr="006B014D" w:rsidRDefault="006B014D" w:rsidP="006B01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B014D">
        <w:rPr>
          <w:rFonts w:eastAsia="Times New Roman" w:cstheme="minorHAnsi"/>
          <w:sz w:val="24"/>
          <w:szCs w:val="24"/>
          <w:lang w:eastAsia="es-CO"/>
        </w:rPr>
        <w:t xml:space="preserve">Fabricadas bajo estándares de calidad para uso industrial y comercial, están disponibles en </w:t>
      </w:r>
      <w:r w:rsidRPr="006B014D">
        <w:rPr>
          <w:rFonts w:eastAsia="Times New Roman" w:cstheme="minorHAnsi"/>
          <w:b/>
          <w:bCs/>
          <w:sz w:val="24"/>
          <w:szCs w:val="24"/>
          <w:lang w:eastAsia="es-CO"/>
        </w:rPr>
        <w:t>acero Cold Rolled o</w:t>
      </w:r>
      <w:r w:rsidRPr="006B014D">
        <w:rPr>
          <w:rFonts w:eastAsia="Times New Roman" w:cstheme="minorHAnsi"/>
          <w:sz w:val="24"/>
          <w:szCs w:val="24"/>
          <w:lang w:eastAsia="es-CO"/>
        </w:rPr>
        <w:t>, según las necesidades de cada proyecto y las condiciones de operación.</w:t>
      </w:r>
    </w:p>
    <w:p w14:paraId="411A4DF5" w14:textId="77777777" w:rsidR="006B014D" w:rsidRPr="006B014D" w:rsidRDefault="006B014D" w:rsidP="006B01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B014D">
        <w:rPr>
          <w:rFonts w:eastAsia="Times New Roman" w:cstheme="minorHAnsi"/>
          <w:b/>
          <w:bCs/>
          <w:sz w:val="24"/>
          <w:szCs w:val="24"/>
          <w:lang w:eastAsia="es-CO"/>
        </w:rPr>
        <w:t>Características:</w:t>
      </w:r>
    </w:p>
    <w:p w14:paraId="292D7829" w14:textId="3EC4843E" w:rsidR="006B014D" w:rsidRPr="006B014D" w:rsidRDefault="006B014D" w:rsidP="006B01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B014D">
        <w:rPr>
          <w:rFonts w:eastAsia="Times New Roman" w:cstheme="minorHAnsi"/>
          <w:b/>
          <w:bCs/>
          <w:sz w:val="24"/>
          <w:szCs w:val="24"/>
          <w:lang w:eastAsia="es-CO"/>
        </w:rPr>
        <w:t>Material:</w:t>
      </w:r>
      <w:r w:rsidRPr="006B014D">
        <w:rPr>
          <w:rFonts w:eastAsia="Times New Roman" w:cstheme="minorHAnsi"/>
          <w:sz w:val="24"/>
          <w:szCs w:val="24"/>
          <w:lang w:eastAsia="es-CO"/>
        </w:rPr>
        <w:t xml:space="preserve"> Fleje en acero calibre 22, disponible en Cold Rolled</w:t>
      </w:r>
    </w:p>
    <w:p w14:paraId="506793A9" w14:textId="77777777" w:rsidR="006B014D" w:rsidRPr="006B014D" w:rsidRDefault="006B014D" w:rsidP="006B01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B014D">
        <w:rPr>
          <w:rFonts w:eastAsia="Times New Roman" w:cstheme="minorHAnsi"/>
          <w:b/>
          <w:bCs/>
          <w:sz w:val="24"/>
          <w:szCs w:val="24"/>
          <w:lang w:eastAsia="es-CO"/>
        </w:rPr>
        <w:t>Dimensiones:</w:t>
      </w:r>
      <w:r w:rsidRPr="006B014D">
        <w:rPr>
          <w:rFonts w:eastAsia="Times New Roman" w:cstheme="minorHAnsi"/>
          <w:sz w:val="24"/>
          <w:szCs w:val="24"/>
          <w:lang w:eastAsia="es-CO"/>
        </w:rPr>
        <w:t xml:space="preserve"> Desde </w:t>
      </w:r>
      <w:r w:rsidRPr="006B014D">
        <w:rPr>
          <w:rFonts w:eastAsia="Times New Roman" w:cstheme="minorHAnsi"/>
          <w:b/>
          <w:bCs/>
          <w:sz w:val="24"/>
          <w:szCs w:val="24"/>
          <w:lang w:eastAsia="es-CO"/>
        </w:rPr>
        <w:t>1,20 m</w:t>
      </w:r>
      <w:r w:rsidRPr="006B014D">
        <w:rPr>
          <w:rFonts w:eastAsia="Times New Roman" w:cstheme="minorHAnsi"/>
          <w:sz w:val="24"/>
          <w:szCs w:val="24"/>
          <w:lang w:eastAsia="es-CO"/>
        </w:rPr>
        <w:t xml:space="preserve"> hasta </w:t>
      </w:r>
      <w:r w:rsidRPr="006B014D">
        <w:rPr>
          <w:rFonts w:eastAsia="Times New Roman" w:cstheme="minorHAnsi"/>
          <w:b/>
          <w:bCs/>
          <w:sz w:val="24"/>
          <w:szCs w:val="24"/>
          <w:lang w:eastAsia="es-CO"/>
        </w:rPr>
        <w:t>10 m</w:t>
      </w:r>
      <w:r w:rsidRPr="006B014D">
        <w:rPr>
          <w:rFonts w:eastAsia="Times New Roman" w:cstheme="minorHAnsi"/>
          <w:sz w:val="24"/>
          <w:szCs w:val="24"/>
          <w:lang w:eastAsia="es-CO"/>
        </w:rPr>
        <w:t xml:space="preserve"> de ancho. </w:t>
      </w:r>
    </w:p>
    <w:p w14:paraId="3098A146" w14:textId="77777777" w:rsidR="006B014D" w:rsidRPr="006B014D" w:rsidRDefault="006B014D" w:rsidP="006B01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B014D">
        <w:rPr>
          <w:rFonts w:eastAsia="Times New Roman" w:cstheme="minorHAnsi"/>
          <w:b/>
          <w:bCs/>
          <w:sz w:val="24"/>
          <w:szCs w:val="24"/>
          <w:lang w:eastAsia="es-CO"/>
        </w:rPr>
        <w:t>Accionamiento:</w:t>
      </w:r>
      <w:r w:rsidRPr="006B014D">
        <w:rPr>
          <w:rFonts w:eastAsia="Times New Roman" w:cstheme="minorHAnsi"/>
          <w:sz w:val="24"/>
          <w:szCs w:val="24"/>
          <w:lang w:eastAsia="es-CO"/>
        </w:rPr>
        <w:t xml:space="preserve"> Manual o automatizado. </w:t>
      </w:r>
    </w:p>
    <w:p w14:paraId="6A6FBCF7" w14:textId="77777777" w:rsidR="006B014D" w:rsidRPr="006B014D" w:rsidRDefault="006B014D" w:rsidP="006B01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6B014D">
        <w:rPr>
          <w:rFonts w:eastAsia="Times New Roman" w:cstheme="minorHAnsi"/>
          <w:b/>
          <w:bCs/>
          <w:sz w:val="24"/>
          <w:szCs w:val="24"/>
          <w:lang w:eastAsia="es-CO"/>
        </w:rPr>
        <w:t>Instalación:</w:t>
      </w:r>
      <w:r w:rsidRPr="006B014D">
        <w:rPr>
          <w:rFonts w:eastAsia="Times New Roman" w:cstheme="minorHAnsi"/>
          <w:sz w:val="24"/>
          <w:szCs w:val="24"/>
          <w:lang w:eastAsia="es-CO"/>
        </w:rPr>
        <w:t xml:space="preserve"> Disponible según cobertura de servicio.</w:t>
      </w:r>
    </w:p>
    <w:p w14:paraId="304D4C10" w14:textId="77777777" w:rsidR="006B014D" w:rsidRPr="006B014D" w:rsidRDefault="006B014D" w:rsidP="00356EC4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b/>
          <w:bCs/>
          <w:color w:val="313842"/>
        </w:rPr>
      </w:pPr>
    </w:p>
    <w:p w14:paraId="5EC7D91A" w14:textId="77777777" w:rsidR="006B014D" w:rsidRDefault="006B014D" w:rsidP="00356EC4">
      <w:pPr>
        <w:jc w:val="both"/>
        <w:rPr>
          <w:rFonts w:cstheme="minorHAnsi"/>
          <w:lang w:val="es-MX"/>
        </w:rPr>
      </w:pPr>
    </w:p>
    <w:p w14:paraId="4CF5800A" w14:textId="77777777" w:rsidR="006B014D" w:rsidRDefault="006B014D" w:rsidP="00356EC4">
      <w:pPr>
        <w:jc w:val="both"/>
        <w:rPr>
          <w:rFonts w:cstheme="minorHAnsi"/>
          <w:lang w:val="es-MX"/>
        </w:rPr>
      </w:pPr>
    </w:p>
    <w:p w14:paraId="3644A1B6" w14:textId="77777777" w:rsidR="006B014D" w:rsidRPr="006B014D" w:rsidRDefault="006B014D" w:rsidP="006B014D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b/>
          <w:bCs/>
          <w:color w:val="313842"/>
        </w:rPr>
      </w:pPr>
    </w:p>
    <w:p w14:paraId="01FC861B" w14:textId="7FFB6209" w:rsidR="006B014D" w:rsidRDefault="006B014D" w:rsidP="006B014D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b/>
          <w:bCs/>
          <w:color w:val="313842"/>
        </w:rPr>
      </w:pPr>
      <w:r w:rsidRPr="006B014D">
        <w:rPr>
          <w:rFonts w:asciiTheme="minorHAnsi" w:hAnsiTheme="minorHAnsi" w:cstheme="minorHAnsi"/>
          <w:b/>
          <w:bCs/>
          <w:color w:val="313842"/>
        </w:rPr>
        <w:t xml:space="preserve">Puertas </w:t>
      </w:r>
      <w:r w:rsidR="0059302E" w:rsidRPr="006B014D">
        <w:rPr>
          <w:rFonts w:asciiTheme="minorHAnsi" w:hAnsiTheme="minorHAnsi" w:cstheme="minorHAnsi"/>
          <w:b/>
          <w:bCs/>
          <w:color w:val="313842"/>
        </w:rPr>
        <w:t>Rápidas</w:t>
      </w:r>
      <w:r>
        <w:rPr>
          <w:rFonts w:asciiTheme="minorHAnsi" w:hAnsiTheme="minorHAnsi" w:cstheme="minorHAnsi"/>
          <w:b/>
          <w:bCs/>
          <w:color w:val="313842"/>
        </w:rPr>
        <w:t>:</w:t>
      </w:r>
    </w:p>
    <w:p w14:paraId="65D8C39F" w14:textId="2F2FEC4A" w:rsidR="0059302E" w:rsidRDefault="006B014D" w:rsidP="006B014D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b/>
          <w:bCs/>
          <w:color w:val="313842"/>
        </w:rPr>
      </w:pPr>
      <w:r>
        <w:rPr>
          <w:rFonts w:asciiTheme="minorHAnsi" w:hAnsiTheme="minorHAnsi" w:cstheme="minorHAnsi"/>
          <w:b/>
          <w:bCs/>
          <w:color w:val="313842"/>
        </w:rPr>
        <w:t xml:space="preserve">Para las puetas rápidas </w:t>
      </w:r>
      <w:r w:rsidR="0059302E">
        <w:rPr>
          <w:rFonts w:asciiTheme="minorHAnsi" w:hAnsiTheme="minorHAnsi" w:cstheme="minorHAnsi"/>
          <w:b/>
          <w:bCs/>
          <w:color w:val="313842"/>
        </w:rPr>
        <w:t>quedamos de hace una sección igual a las de la especializadas</w:t>
      </w:r>
    </w:p>
    <w:p w14:paraId="699CA7F4" w14:textId="03889AC5" w:rsidR="0059302E" w:rsidRDefault="0059302E" w:rsidP="006B014D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b/>
          <w:bCs/>
          <w:color w:val="313842"/>
        </w:rPr>
      </w:pPr>
      <w:r w:rsidRPr="006B014D">
        <w:rPr>
          <w:rFonts w:cstheme="minorHAnsi"/>
          <w:noProof/>
          <w:lang w:val="es-MX"/>
        </w:rPr>
        <w:drawing>
          <wp:anchor distT="0" distB="0" distL="114300" distR="114300" simplePos="0" relativeHeight="251662336" behindDoc="0" locked="0" layoutInCell="1" allowOverlap="1" wp14:anchorId="72AC48EE" wp14:editId="44366FD8">
            <wp:simplePos x="0" y="0"/>
            <wp:positionH relativeFrom="margin">
              <wp:align>left</wp:align>
            </wp:positionH>
            <wp:positionV relativeFrom="paragraph">
              <wp:posOffset>152143</wp:posOffset>
            </wp:positionV>
            <wp:extent cx="4567656" cy="2660073"/>
            <wp:effectExtent l="0" t="0" r="4445" b="698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7656" cy="26600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577079" w14:textId="3C9584EB" w:rsidR="0059302E" w:rsidRDefault="0059302E" w:rsidP="006B014D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b/>
          <w:bCs/>
          <w:color w:val="313842"/>
        </w:rPr>
      </w:pPr>
    </w:p>
    <w:p w14:paraId="7F792BA6" w14:textId="6ECEC444" w:rsidR="0059302E" w:rsidRDefault="0059302E" w:rsidP="006B014D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b/>
          <w:bCs/>
          <w:color w:val="313842"/>
        </w:rPr>
      </w:pPr>
    </w:p>
    <w:p w14:paraId="34584EC1" w14:textId="77777777" w:rsidR="0059302E" w:rsidRDefault="0059302E" w:rsidP="006B014D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b/>
          <w:bCs/>
          <w:color w:val="313842"/>
        </w:rPr>
      </w:pPr>
    </w:p>
    <w:p w14:paraId="280322C6" w14:textId="77777777" w:rsidR="0059302E" w:rsidRDefault="0059302E" w:rsidP="006B014D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b/>
          <w:bCs/>
          <w:color w:val="313842"/>
        </w:rPr>
      </w:pPr>
    </w:p>
    <w:p w14:paraId="5EFC1BFE" w14:textId="77777777" w:rsidR="0059302E" w:rsidRDefault="0059302E" w:rsidP="006B014D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b/>
          <w:bCs/>
          <w:color w:val="313842"/>
        </w:rPr>
      </w:pPr>
    </w:p>
    <w:p w14:paraId="6451BD86" w14:textId="77777777" w:rsidR="0059302E" w:rsidRDefault="0059302E" w:rsidP="006B014D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b/>
          <w:bCs/>
          <w:color w:val="313842"/>
        </w:rPr>
      </w:pPr>
    </w:p>
    <w:p w14:paraId="26BF3D8C" w14:textId="08CABA17" w:rsidR="006B014D" w:rsidRDefault="0059302E" w:rsidP="006B014D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b/>
          <w:bCs/>
          <w:color w:val="313842"/>
        </w:rPr>
      </w:pPr>
      <w:r>
        <w:rPr>
          <w:rFonts w:asciiTheme="minorHAnsi" w:hAnsiTheme="minorHAnsi" w:cstheme="minorHAnsi"/>
          <w:b/>
          <w:bCs/>
          <w:color w:val="313842"/>
        </w:rPr>
        <w:br/>
      </w:r>
    </w:p>
    <w:p w14:paraId="7D82D23B" w14:textId="592AF7E7" w:rsidR="0059302E" w:rsidRPr="0059302E" w:rsidRDefault="0059302E" w:rsidP="006B014D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b/>
          <w:bCs/>
          <w:color w:val="000000" w:themeColor="text1"/>
        </w:rPr>
      </w:pPr>
      <w:r w:rsidRPr="0059302E">
        <w:rPr>
          <w:rFonts w:asciiTheme="minorHAnsi" w:hAnsiTheme="minorHAnsi" w:cstheme="minorHAnsi"/>
          <w:b/>
          <w:bCs/>
          <w:color w:val="000000" w:themeColor="text1"/>
        </w:rPr>
        <w:t>Descripción general:</w:t>
      </w:r>
    </w:p>
    <w:p w14:paraId="607543B0" w14:textId="32EB28E8" w:rsidR="0059302E" w:rsidRPr="0059302E" w:rsidRDefault="0059302E" w:rsidP="006B014D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color w:val="000000" w:themeColor="text1"/>
        </w:rPr>
      </w:pPr>
      <w:r w:rsidRPr="0059302E">
        <w:rPr>
          <w:rFonts w:asciiTheme="minorHAnsi" w:hAnsiTheme="minorHAnsi" w:cstheme="minorHAnsi"/>
          <w:color w:val="000000" w:themeColor="text1"/>
        </w:rPr>
        <w:t>Puertas rápidas diseñadas para optimizar el flujo operativo, mejorar la eficiencia y garantizar el control de acceso en entornos industriales y comerciales. Fabricadas con materiales de alta resistencia y adaptadas a las necesidades de cada aplicación, ofrecen soluciones especializadas para los sectores logístico, farmacéutico, de refrigeración y protección contra incendios.</w:t>
      </w:r>
    </w:p>
    <w:p w14:paraId="5BBD2753" w14:textId="64B9AE28" w:rsidR="0059302E" w:rsidRPr="0059302E" w:rsidRDefault="0059302E" w:rsidP="0059302E">
      <w:pPr>
        <w:pStyle w:val="Ttulo3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59302E">
        <w:rPr>
          <w:rStyle w:val="Textoennegrita"/>
          <w:rFonts w:asciiTheme="minorHAnsi" w:hAnsiTheme="minorHAnsi" w:cstheme="minorHAnsi"/>
          <w:color w:val="000000" w:themeColor="text1"/>
          <w:sz w:val="22"/>
          <w:szCs w:val="22"/>
        </w:rPr>
        <w:t>Logística</w:t>
      </w:r>
    </w:p>
    <w:p w14:paraId="029A81CF" w14:textId="77777777" w:rsidR="0059302E" w:rsidRPr="0059302E" w:rsidRDefault="0059302E" w:rsidP="0059302E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59302E">
        <w:rPr>
          <w:rFonts w:asciiTheme="minorHAnsi" w:hAnsiTheme="minorHAnsi" w:cstheme="minorHAnsi"/>
          <w:color w:val="000000" w:themeColor="text1"/>
          <w:sz w:val="22"/>
          <w:szCs w:val="22"/>
        </w:rPr>
        <w:t>Diseñada para optimizar el flujo de mercancías y personas en centros de distribución, bodegas y muelles de carga. Su apertura y cierre de alta velocidad reducen los tiempos de operación, mejoran la seguridad y ayudan a controlar las condiciones del ambiente.</w:t>
      </w:r>
    </w:p>
    <w:p w14:paraId="7C728FD4" w14:textId="425B3149" w:rsidR="0059302E" w:rsidRPr="0059302E" w:rsidRDefault="0059302E" w:rsidP="0059302E">
      <w:pPr>
        <w:pStyle w:val="Ttulo3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59302E">
        <w:rPr>
          <w:rStyle w:val="Textoennegrita"/>
          <w:rFonts w:asciiTheme="minorHAnsi" w:hAnsiTheme="minorHAnsi" w:cstheme="minorHAnsi"/>
          <w:color w:val="000000" w:themeColor="text1"/>
          <w:sz w:val="22"/>
          <w:szCs w:val="22"/>
        </w:rPr>
        <w:t>Refrigeración</w:t>
      </w:r>
    </w:p>
    <w:p w14:paraId="5204A99C" w14:textId="77777777" w:rsidR="0059302E" w:rsidRPr="0059302E" w:rsidRDefault="0059302E" w:rsidP="0059302E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59302E">
        <w:rPr>
          <w:rFonts w:asciiTheme="minorHAnsi" w:hAnsiTheme="minorHAnsi" w:cstheme="minorHAnsi"/>
          <w:color w:val="000000" w:themeColor="text1"/>
          <w:sz w:val="22"/>
          <w:szCs w:val="22"/>
        </w:rPr>
        <w:t>Especialmente desarrollada para cuartos fríos y áreas de temperatura controlada. Minimiza la pérdida de frío, reduce el consumo energético y mantiene las condiciones térmicas necesarias para la conservación de productos.</w:t>
      </w:r>
    </w:p>
    <w:p w14:paraId="06121E87" w14:textId="61C3C7BE" w:rsidR="0059302E" w:rsidRPr="0059302E" w:rsidRDefault="0059302E" w:rsidP="0059302E">
      <w:pPr>
        <w:pStyle w:val="Ttulo3"/>
        <w:rPr>
          <w:rStyle w:val="Textoennegrita"/>
          <w:rFonts w:asciiTheme="minorHAnsi" w:hAnsiTheme="minorHAnsi" w:cstheme="minorHAnsi"/>
          <w:color w:val="000000" w:themeColor="text1"/>
          <w:sz w:val="22"/>
          <w:szCs w:val="22"/>
        </w:rPr>
      </w:pPr>
      <w:r w:rsidRPr="0059302E">
        <w:rPr>
          <w:rStyle w:val="Textoennegrita"/>
          <w:rFonts w:asciiTheme="minorHAnsi" w:hAnsiTheme="minorHAnsi" w:cstheme="minorHAnsi"/>
          <w:color w:val="000000" w:themeColor="text1"/>
          <w:sz w:val="22"/>
          <w:szCs w:val="22"/>
        </w:rPr>
        <w:t>Fármaco</w:t>
      </w:r>
    </w:p>
    <w:p w14:paraId="45253855" w14:textId="5D919965" w:rsidR="0059302E" w:rsidRPr="0059302E" w:rsidRDefault="0059302E" w:rsidP="0059302E">
      <w:pPr>
        <w:pStyle w:val="Ttulo3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59302E">
        <w:rPr>
          <w:rFonts w:asciiTheme="minorHAnsi" w:hAnsiTheme="minorHAnsi" w:cstheme="minorHAnsi"/>
          <w:color w:val="000000" w:themeColor="text1"/>
          <w:sz w:val="22"/>
          <w:szCs w:val="22"/>
        </w:rPr>
        <w:t>Fabricada para cumplir con los altos estándares de higiene y control ambiental exigidos por la industria farmacéutica y de laboratorios. Favorece la limpieza, limita la contaminación cruzada y contribuye al control de presión y temperatura en áreas críticas.</w:t>
      </w:r>
    </w:p>
    <w:p w14:paraId="35B6A277" w14:textId="77777777" w:rsidR="0059302E" w:rsidRPr="0059302E" w:rsidRDefault="0059302E" w:rsidP="0059302E">
      <w:pPr>
        <w:rPr>
          <w:color w:val="000000" w:themeColor="text1"/>
        </w:rPr>
      </w:pPr>
    </w:p>
    <w:p w14:paraId="2C1931A0" w14:textId="77777777" w:rsidR="0059302E" w:rsidRPr="0059302E" w:rsidRDefault="0059302E" w:rsidP="0059302E">
      <w:pPr>
        <w:pStyle w:val="Ttulo3"/>
        <w:rPr>
          <w:rStyle w:val="Textoennegrita"/>
          <w:rFonts w:asciiTheme="minorHAnsi" w:hAnsiTheme="minorHAnsi" w:cstheme="minorHAnsi"/>
          <w:color w:val="000000" w:themeColor="text1"/>
          <w:sz w:val="22"/>
          <w:szCs w:val="22"/>
        </w:rPr>
      </w:pPr>
      <w:r w:rsidRPr="0059302E">
        <w:rPr>
          <w:rStyle w:val="Textoennegrita"/>
          <w:rFonts w:asciiTheme="minorHAnsi" w:hAnsiTheme="minorHAnsi" w:cstheme="minorHAnsi"/>
          <w:color w:val="000000" w:themeColor="text1"/>
          <w:sz w:val="22"/>
          <w:szCs w:val="22"/>
        </w:rPr>
        <w:t>Puerta Corta Fuego</w:t>
      </w:r>
    </w:p>
    <w:p w14:paraId="4A99ADEA" w14:textId="64910FD4" w:rsidR="0059302E" w:rsidRPr="0059302E" w:rsidRDefault="0059302E" w:rsidP="0059302E">
      <w:pPr>
        <w:pStyle w:val="Ttulo3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59302E">
        <w:rPr>
          <w:rFonts w:asciiTheme="minorHAnsi" w:hAnsiTheme="minorHAnsi" w:cstheme="minorHAnsi"/>
          <w:color w:val="000000" w:themeColor="text1"/>
          <w:sz w:val="22"/>
          <w:szCs w:val="22"/>
        </w:rPr>
        <w:t>Diseñada para compartimentar áreas y retardar la propagación del fuego y el humo en caso de emergencia. Fabricada bajo altos estándares de seguridad, protege la infraestructura, facilita la evacuación y contribuye al cumplimiento de las normas de protección contra incendios.</w:t>
      </w:r>
    </w:p>
    <w:p w14:paraId="692FF6B8" w14:textId="001894B5" w:rsidR="0059302E" w:rsidRPr="0059302E" w:rsidRDefault="0059302E" w:rsidP="006B014D">
      <w:pPr>
        <w:pStyle w:val="NormalWeb"/>
        <w:shd w:val="clear" w:color="auto" w:fill="FFFFFF"/>
        <w:spacing w:before="0" w:beforeAutospacing="0" w:after="300" w:afterAutospacing="0"/>
        <w:rPr>
          <w:rFonts w:asciiTheme="minorHAnsi" w:hAnsiTheme="minorHAnsi" w:cstheme="minorHAnsi"/>
          <w:b/>
          <w:bCs/>
          <w:color w:val="313842"/>
        </w:rPr>
      </w:pPr>
    </w:p>
    <w:p w14:paraId="74F4EEF0" w14:textId="68363B2A" w:rsidR="006B014D" w:rsidRDefault="006B014D" w:rsidP="00356EC4">
      <w:pPr>
        <w:jc w:val="both"/>
        <w:rPr>
          <w:rFonts w:cstheme="minorHAnsi"/>
          <w:lang w:val="es-MX"/>
        </w:rPr>
      </w:pPr>
    </w:p>
    <w:p w14:paraId="7AE3738D" w14:textId="5CBFE925" w:rsidR="006B014D" w:rsidRDefault="006B014D" w:rsidP="00356EC4">
      <w:pPr>
        <w:jc w:val="both"/>
        <w:rPr>
          <w:rFonts w:cstheme="minorHAnsi"/>
          <w:lang w:val="es-MX"/>
        </w:rPr>
      </w:pPr>
    </w:p>
    <w:p w14:paraId="3EAB9AE9" w14:textId="77777777" w:rsidR="006B014D" w:rsidRDefault="006B014D" w:rsidP="00356EC4">
      <w:pPr>
        <w:jc w:val="both"/>
        <w:rPr>
          <w:rFonts w:cstheme="minorHAnsi"/>
          <w:lang w:val="es-MX"/>
        </w:rPr>
      </w:pPr>
    </w:p>
    <w:p w14:paraId="5F21EEA9" w14:textId="513D72B5" w:rsidR="006B014D" w:rsidRDefault="006B014D" w:rsidP="00356EC4">
      <w:pPr>
        <w:jc w:val="both"/>
        <w:rPr>
          <w:rFonts w:cstheme="minorHAnsi"/>
          <w:lang w:val="es-MX"/>
        </w:rPr>
      </w:pPr>
    </w:p>
    <w:p w14:paraId="1D244BA7" w14:textId="4D1DAADB" w:rsidR="00356EC4" w:rsidRPr="00194FDC" w:rsidRDefault="00194FDC" w:rsidP="00356EC4">
      <w:pPr>
        <w:jc w:val="both"/>
        <w:rPr>
          <w:rFonts w:cstheme="minorHAnsi"/>
          <w:b/>
          <w:bCs/>
          <w:lang w:val="es-MX"/>
        </w:rPr>
      </w:pPr>
      <w:r w:rsidRPr="00194FDC">
        <w:rPr>
          <w:rFonts w:cstheme="minorHAnsi"/>
          <w:b/>
          <w:bCs/>
          <w:lang w:val="es-MX"/>
        </w:rPr>
        <w:t xml:space="preserve">Casos de Éxito </w:t>
      </w:r>
    </w:p>
    <w:p w14:paraId="06306AC7" w14:textId="2FFF88B7" w:rsidR="00194FDC" w:rsidRDefault="00194FDC" w:rsidP="00356EC4">
      <w:pPr>
        <w:jc w:val="both"/>
        <w:rPr>
          <w:rFonts w:cstheme="minorHAnsi"/>
          <w:b/>
          <w:bCs/>
          <w:lang w:val="es-MX"/>
        </w:rPr>
      </w:pPr>
      <w:r w:rsidRPr="00194FDC">
        <w:rPr>
          <w:rFonts w:cstheme="minorHAnsi"/>
          <w:b/>
          <w:bCs/>
          <w:lang w:val="es-MX"/>
        </w:rPr>
        <w:t>Jerónimo Ma</w:t>
      </w:r>
      <w:r>
        <w:rPr>
          <w:rFonts w:cstheme="minorHAnsi"/>
          <w:b/>
          <w:bCs/>
          <w:lang w:val="es-MX"/>
        </w:rPr>
        <w:t>r</w:t>
      </w:r>
      <w:r w:rsidRPr="00194FDC">
        <w:rPr>
          <w:rFonts w:cstheme="minorHAnsi"/>
          <w:b/>
          <w:bCs/>
          <w:lang w:val="es-MX"/>
        </w:rPr>
        <w:t>tins</w:t>
      </w:r>
      <w:r>
        <w:rPr>
          <w:rFonts w:cstheme="minorHAnsi"/>
          <w:b/>
          <w:bCs/>
          <w:lang w:val="es-MX"/>
        </w:rPr>
        <w:t>:</w:t>
      </w:r>
    </w:p>
    <w:p w14:paraId="621E28C6" w14:textId="337CE130" w:rsidR="00194FDC" w:rsidRDefault="008B6ECE" w:rsidP="00356EC4">
      <w:pPr>
        <w:jc w:val="both"/>
        <w:rPr>
          <w:rFonts w:cstheme="minorHAnsi"/>
          <w:b/>
          <w:bCs/>
          <w:lang w:val="es-MX"/>
        </w:rPr>
      </w:pPr>
      <w:r>
        <w:rPr>
          <w:rFonts w:cstheme="minorHAnsi"/>
          <w:b/>
          <w:bCs/>
          <w:lang w:val="es-MX"/>
        </w:rPr>
        <w:t xml:space="preserve">Suministro e instalacion de puertas rapidas para CEDIS nuevos en cavas de congelacion, </w:t>
      </w:r>
      <w:r w:rsidR="0057360D">
        <w:rPr>
          <w:rFonts w:cstheme="minorHAnsi"/>
          <w:b/>
          <w:bCs/>
          <w:lang w:val="es-MX"/>
        </w:rPr>
        <w:t xml:space="preserve">temperados y refrigeracion, suministro e instalacion de equipos de muelle puertas seccionales, plataformas niveladoras y abrigos en las ciudades de valledupar, cali, cota, girardota, cucuta, cota, palomar </w:t>
      </w:r>
    </w:p>
    <w:p w14:paraId="71E00A16" w14:textId="6E082B5F" w:rsidR="00194FDC" w:rsidRDefault="00194FDC" w:rsidP="00356EC4">
      <w:pPr>
        <w:jc w:val="both"/>
        <w:rPr>
          <w:rFonts w:cstheme="minorHAnsi"/>
          <w:b/>
          <w:bCs/>
          <w:lang w:val="es-MX"/>
        </w:rPr>
      </w:pPr>
      <w:r>
        <w:rPr>
          <w:rFonts w:cstheme="minorHAnsi"/>
          <w:b/>
          <w:bCs/>
          <w:lang w:val="es-MX"/>
        </w:rPr>
        <w:t>Calypso Cartagena:</w:t>
      </w:r>
    </w:p>
    <w:p w14:paraId="4A74BF77" w14:textId="023CBAE6" w:rsidR="00194FDC" w:rsidRDefault="0057360D" w:rsidP="00356EC4">
      <w:pPr>
        <w:jc w:val="both"/>
        <w:rPr>
          <w:rFonts w:cstheme="minorHAnsi"/>
          <w:b/>
          <w:bCs/>
          <w:lang w:val="es-MX"/>
        </w:rPr>
      </w:pPr>
      <w:r>
        <w:rPr>
          <w:rFonts w:cstheme="minorHAnsi"/>
          <w:b/>
          <w:bCs/>
          <w:lang w:val="es-MX"/>
        </w:rPr>
        <w:t>Suministro e instalacion de puertas rapidas para cava de congelados y cuerto refrigerado y suministro e instalacion de equipos de muelles, plataformas niveladoras telescopicas, puertas seccionales y abrigos</w:t>
      </w:r>
    </w:p>
    <w:p w14:paraId="2CA7F985" w14:textId="357E23D5" w:rsidR="00194FDC" w:rsidRDefault="00194FDC" w:rsidP="00356EC4">
      <w:pPr>
        <w:jc w:val="both"/>
        <w:rPr>
          <w:rFonts w:cstheme="minorHAnsi"/>
          <w:b/>
          <w:bCs/>
          <w:lang w:val="es-MX"/>
        </w:rPr>
      </w:pPr>
      <w:r>
        <w:rPr>
          <w:rFonts w:cstheme="minorHAnsi"/>
          <w:b/>
          <w:bCs/>
          <w:lang w:val="es-MX"/>
        </w:rPr>
        <w:t>Colombina Itagui:</w:t>
      </w:r>
    </w:p>
    <w:p w14:paraId="43316C09" w14:textId="605167EF" w:rsidR="00194FDC" w:rsidRDefault="0057360D" w:rsidP="00356EC4">
      <w:pPr>
        <w:jc w:val="both"/>
        <w:rPr>
          <w:rFonts w:cstheme="minorHAnsi"/>
          <w:b/>
          <w:bCs/>
          <w:lang w:val="es-MX"/>
        </w:rPr>
      </w:pPr>
      <w:r>
        <w:rPr>
          <w:rFonts w:cstheme="minorHAnsi"/>
          <w:b/>
          <w:bCs/>
          <w:lang w:val="es-MX"/>
        </w:rPr>
        <w:t xml:space="preserve">Suministro e instalacion de puertas rapidas modelo frigo 2 AIR para cava de congelados. </w:t>
      </w:r>
    </w:p>
    <w:p w14:paraId="5AC31475" w14:textId="483C4C7E" w:rsidR="00194FDC" w:rsidRPr="00194FDC" w:rsidRDefault="00194FDC" w:rsidP="00356EC4">
      <w:pPr>
        <w:jc w:val="both"/>
        <w:rPr>
          <w:rFonts w:cstheme="minorHAnsi"/>
          <w:b/>
          <w:bCs/>
          <w:lang w:val="es-MX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4B4AA49" wp14:editId="05D29670">
            <wp:simplePos x="0" y="0"/>
            <wp:positionH relativeFrom="margin">
              <wp:align>left</wp:align>
            </wp:positionH>
            <wp:positionV relativeFrom="paragraph">
              <wp:posOffset>191952</wp:posOffset>
            </wp:positionV>
            <wp:extent cx="2766951" cy="2102882"/>
            <wp:effectExtent l="0" t="0" r="0" b="0"/>
            <wp:wrapNone/>
            <wp:docPr id="6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951" cy="21028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bCs/>
          <w:lang w:val="es-MX"/>
        </w:rPr>
        <w:t>Logo ara</w:t>
      </w:r>
    </w:p>
    <w:sectPr w:rsidR="00194FDC" w:rsidRPr="00194F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229C4"/>
    <w:multiLevelType w:val="multilevel"/>
    <w:tmpl w:val="148A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57A7F"/>
    <w:multiLevelType w:val="multilevel"/>
    <w:tmpl w:val="67B8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1E8"/>
    <w:rsid w:val="00031428"/>
    <w:rsid w:val="00194FDC"/>
    <w:rsid w:val="00356EC4"/>
    <w:rsid w:val="00446BC4"/>
    <w:rsid w:val="0057360D"/>
    <w:rsid w:val="0059302E"/>
    <w:rsid w:val="00597BB3"/>
    <w:rsid w:val="006B014D"/>
    <w:rsid w:val="006E0683"/>
    <w:rsid w:val="007921E8"/>
    <w:rsid w:val="008B6ECE"/>
    <w:rsid w:val="0098341D"/>
    <w:rsid w:val="009A4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7D0F0"/>
  <w15:chartTrackingRefBased/>
  <w15:docId w15:val="{C318E84C-AF1E-4AD8-A9CA-B3746C372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97B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930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7BB3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styleId="Textoennegrita">
    <w:name w:val="Strong"/>
    <w:basedOn w:val="Fuentedeprrafopredeter"/>
    <w:uiPriority w:val="22"/>
    <w:qFormat/>
    <w:rsid w:val="00356EC4"/>
    <w:rPr>
      <w:b/>
      <w:bCs/>
    </w:rPr>
  </w:style>
  <w:style w:type="paragraph" w:styleId="NormalWeb">
    <w:name w:val="Normal (Web)"/>
    <w:basedOn w:val="Normal"/>
    <w:uiPriority w:val="99"/>
    <w:unhideWhenUsed/>
    <w:rsid w:val="00356E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pdq2pgselectionanchorcontainer">
    <w:name w:val="pdq2pg_selectionanchorcontainer"/>
    <w:basedOn w:val="Normal"/>
    <w:rsid w:val="006B01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59302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0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5</Pages>
  <Words>1153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Rojas</dc:creator>
  <cp:keywords/>
  <dc:description/>
  <cp:lastModifiedBy>Crhistian Rosero</cp:lastModifiedBy>
  <cp:revision>3</cp:revision>
  <dcterms:created xsi:type="dcterms:W3CDTF">2026-07-31T13:39:00Z</dcterms:created>
  <dcterms:modified xsi:type="dcterms:W3CDTF">2026-08-03T21:31:00Z</dcterms:modified>
</cp:coreProperties>
</file>