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F91A" w14:textId="3E8E11DF" w:rsidR="00415205" w:rsidRPr="00FE718F" w:rsidRDefault="00333658" w:rsidP="00AA03DA">
      <w:pPr>
        <w:jc w:val="both"/>
        <w:rPr>
          <w:rFonts w:ascii="Arial" w:hAnsi="Arial" w:cs="Arial"/>
          <w:b/>
          <w:bCs/>
          <w:sz w:val="24"/>
          <w:szCs w:val="24"/>
        </w:rPr>
      </w:pPr>
      <w:r w:rsidRPr="00FE718F">
        <w:rPr>
          <w:rFonts w:ascii="Arial" w:hAnsi="Arial" w:cs="Arial"/>
          <w:b/>
          <w:bCs/>
          <w:sz w:val="24"/>
          <w:szCs w:val="24"/>
        </w:rPr>
        <w:t>Introduction:</w:t>
      </w:r>
    </w:p>
    <w:p w14:paraId="1199CF71" w14:textId="77777777" w:rsidR="00B23543"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 xml:space="preserve">In the present investigation, we conducted an observational study focusing on the abundance of the bee species Eulaema Nigrita within the confines of the Brazilian Atlantic Forest. The study encompasses a comprehensive dataset, incorporating diverse potential predictor variables such as climatic factors (mean annual temperature, precipitation, temperature seasonality, and precipitation seasonality) and aspects related to land use (specifically, the proportion of forest cover). </w:t>
      </w:r>
    </w:p>
    <w:p w14:paraId="05AB35A7" w14:textId="46C86A10"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The primary objective of this short analysis is to examine the influence of mean annual precipitation (MAP), precipitation seasonality (Pseason), and forest cover (.forest) on the abundance of bees. Our overarching hypothesis posits that a higher coverage of trees and an elevated mean annual precipitation (MAP) may inversely correlate with bee sightings, while a heightened level of precipitation seasonality around the average rainfall rate may positively influence bee sightings. This study seeks to uncover how weather and land use affect the number of Eulaema Nigrita bees.</w:t>
      </w:r>
    </w:p>
    <w:p w14:paraId="188055B1" w14:textId="77777777" w:rsidR="00BC211A" w:rsidRPr="00FE718F" w:rsidRDefault="00BC211A" w:rsidP="00B000DB">
      <w:pPr>
        <w:autoSpaceDE w:val="0"/>
        <w:autoSpaceDN w:val="0"/>
        <w:adjustRightInd w:val="0"/>
        <w:spacing w:after="0" w:line="240" w:lineRule="auto"/>
        <w:rPr>
          <w:rFonts w:ascii="Arial" w:hAnsi="Arial" w:cs="Arial"/>
          <w:kern w:val="0"/>
          <w:sz w:val="24"/>
          <w:szCs w:val="24"/>
          <w:lang w:val="de-DE"/>
        </w:rPr>
      </w:pPr>
    </w:p>
    <w:p w14:paraId="0E56B009" w14:textId="1E9B5A9E" w:rsidR="00B000DB" w:rsidRPr="00FE718F" w:rsidRDefault="00333658" w:rsidP="00AA03DA">
      <w:pPr>
        <w:jc w:val="both"/>
        <w:rPr>
          <w:rFonts w:ascii="Arial" w:hAnsi="Arial" w:cs="Arial"/>
          <w:b/>
          <w:bCs/>
          <w:kern w:val="0"/>
          <w:sz w:val="24"/>
          <w:szCs w:val="24"/>
          <w:lang w:val="de-DE"/>
        </w:rPr>
      </w:pPr>
      <w:r w:rsidRPr="00FE718F">
        <w:rPr>
          <w:rFonts w:ascii="Arial" w:hAnsi="Arial" w:cs="Arial"/>
          <w:b/>
          <w:bCs/>
          <w:kern w:val="0"/>
          <w:sz w:val="24"/>
          <w:szCs w:val="24"/>
          <w:lang w:val="de-DE"/>
        </w:rPr>
        <w:t>Methods:</w:t>
      </w:r>
    </w:p>
    <w:p w14:paraId="022BDA94" w14:textId="5B614396"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 xml:space="preserve">In the initial phase of our investigation, we conducted an exploratory analysis of our response variable, Eulaema nigrita abundances, to </w:t>
      </w:r>
      <w:r w:rsidR="00166CEE" w:rsidRPr="00FE718F">
        <w:rPr>
          <w:rFonts w:ascii="Arial" w:hAnsi="Arial" w:cs="Arial"/>
          <w:kern w:val="0"/>
          <w:sz w:val="24"/>
          <w:szCs w:val="24"/>
          <w:lang w:val="de-DE"/>
        </w:rPr>
        <w:t>understand</w:t>
      </w:r>
      <w:r w:rsidRPr="00FE718F">
        <w:rPr>
          <w:rFonts w:ascii="Arial" w:hAnsi="Arial" w:cs="Arial"/>
          <w:kern w:val="0"/>
          <w:sz w:val="24"/>
          <w:szCs w:val="24"/>
          <w:lang w:val="de-DE"/>
        </w:rPr>
        <w:t xml:space="preserve"> our data distribution. To achieve this, we generated a histogram depicting the abundance distribution.</w:t>
      </w:r>
    </w:p>
    <w:p w14:paraId="7FF8CDC3" w14:textId="77777777"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Subsequently, we employed a general linear model (GLM) with a Poisson distribution to initiate our modeling process. Recognizing the presence of overdispersion in our data, as revealed in the initial Poisson GLM, we opted for a negative binomial distribution to better accommodate this characteristic.</w:t>
      </w:r>
    </w:p>
    <w:p w14:paraId="0713EDAA" w14:textId="77777777"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Two distinct negative binomial GLMs were then developed. The first model incorporated predictors such as the proportion of forest cover and mean annual precipitation, while the second model considered precipitation seasonality and mean annual precipitation.</w:t>
      </w:r>
    </w:p>
    <w:p w14:paraId="152A3A3B" w14:textId="4130A9C5"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Following model development, we used the R predict function to generate predictions based on both models. The outcomes were visually represented through the creation of two plots, illustrating the influence of forest cover, mean annual precipitation, and precipitation seasonality on the abundance of Eulaema Nigrita. These plots were derived from the simulated data generated by the predictive models, providing insights into the relationships between these variables and bee abundance.</w:t>
      </w:r>
    </w:p>
    <w:p w14:paraId="02290EFE" w14:textId="57158750" w:rsidR="00333658" w:rsidRPr="00FE718F" w:rsidRDefault="00BC211A" w:rsidP="00BC211A">
      <w:pPr>
        <w:rPr>
          <w:rFonts w:ascii="Arial" w:hAnsi="Arial" w:cs="Arial"/>
          <w:kern w:val="0"/>
          <w:sz w:val="24"/>
          <w:szCs w:val="24"/>
          <w:lang w:val="de-DE"/>
        </w:rPr>
      </w:pPr>
      <w:r w:rsidRPr="00FE718F">
        <w:rPr>
          <w:rFonts w:ascii="Arial" w:hAnsi="Arial" w:cs="Arial"/>
          <w:kern w:val="0"/>
          <w:sz w:val="24"/>
          <w:szCs w:val="24"/>
          <w:lang w:val="de-DE"/>
        </w:rPr>
        <w:br w:type="page"/>
      </w:r>
      <w:r w:rsidR="00333658" w:rsidRPr="00FE718F">
        <w:rPr>
          <w:rFonts w:ascii="Arial" w:hAnsi="Arial" w:cs="Arial"/>
          <w:b/>
          <w:bCs/>
          <w:kern w:val="0"/>
          <w:sz w:val="24"/>
          <w:szCs w:val="24"/>
          <w:lang w:val="de-DE"/>
        </w:rPr>
        <w:lastRenderedPageBreak/>
        <w:t>Results:</w:t>
      </w:r>
    </w:p>
    <w:p w14:paraId="7CF2F423"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We commenced our analysis by examining the distribution of our response variable, Eulaema Nigrita abundances.</w:t>
      </w:r>
    </w:p>
    <w:p w14:paraId="430A4D38" w14:textId="77777777" w:rsidR="00166CEE" w:rsidRPr="00FE718F" w:rsidRDefault="00166CEE" w:rsidP="00BC211A">
      <w:pPr>
        <w:autoSpaceDE w:val="0"/>
        <w:autoSpaceDN w:val="0"/>
        <w:adjustRightInd w:val="0"/>
        <w:spacing w:after="0" w:line="240" w:lineRule="auto"/>
        <w:jc w:val="both"/>
        <w:rPr>
          <w:rFonts w:ascii="Arial" w:hAnsi="Arial" w:cs="Arial"/>
          <w:kern w:val="0"/>
          <w:sz w:val="24"/>
          <w:szCs w:val="24"/>
          <w:lang w:val="de-DE"/>
        </w:rPr>
      </w:pPr>
    </w:p>
    <w:p w14:paraId="36B4718B" w14:textId="77777777" w:rsidR="00166CEE" w:rsidRPr="00FE718F" w:rsidRDefault="00166CEE" w:rsidP="00166CEE">
      <w:pPr>
        <w:keepNext/>
        <w:autoSpaceDE w:val="0"/>
        <w:autoSpaceDN w:val="0"/>
        <w:adjustRightInd w:val="0"/>
        <w:spacing w:after="0" w:line="240" w:lineRule="auto"/>
        <w:jc w:val="both"/>
        <w:rPr>
          <w:rFonts w:ascii="Arial" w:hAnsi="Arial" w:cs="Arial"/>
        </w:rPr>
      </w:pPr>
      <w:r w:rsidRPr="00FE718F">
        <w:rPr>
          <w:rFonts w:ascii="Arial" w:hAnsi="Arial" w:cs="Arial"/>
          <w:noProof/>
          <w:kern w:val="0"/>
          <w:sz w:val="24"/>
          <w:szCs w:val="24"/>
          <w:lang w:val="de-DE"/>
        </w:rPr>
        <w:drawing>
          <wp:inline distT="0" distB="0" distL="0" distR="0" wp14:anchorId="1B09FA21" wp14:editId="2A6EEC83">
            <wp:extent cx="5756910" cy="2194560"/>
            <wp:effectExtent l="0" t="0" r="0" b="0"/>
            <wp:docPr id="1491726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262" name="Grafik 14917262"/>
                    <pic:cNvPicPr/>
                  </pic:nvPicPr>
                  <pic:blipFill rotWithShape="1">
                    <a:blip r:embed="rId6" cstate="print">
                      <a:extLst>
                        <a:ext uri="{28A0092B-C50C-407E-A947-70E740481C1C}">
                          <a14:useLocalDpi xmlns:a14="http://schemas.microsoft.com/office/drawing/2010/main" val="0"/>
                        </a:ext>
                      </a:extLst>
                    </a:blip>
                    <a:srcRect t="12204" b="11514"/>
                    <a:stretch/>
                  </pic:blipFill>
                  <pic:spPr bwMode="auto">
                    <a:xfrm>
                      <a:off x="0" y="0"/>
                      <a:ext cx="5757684" cy="2194855"/>
                    </a:xfrm>
                    <a:prstGeom prst="rect">
                      <a:avLst/>
                    </a:prstGeom>
                    <a:ln>
                      <a:noFill/>
                    </a:ln>
                    <a:extLst>
                      <a:ext uri="{53640926-AAD7-44D8-BBD7-CCE9431645EC}">
                        <a14:shadowObscured xmlns:a14="http://schemas.microsoft.com/office/drawing/2010/main"/>
                      </a:ext>
                    </a:extLst>
                  </pic:spPr>
                </pic:pic>
              </a:graphicData>
            </a:graphic>
          </wp:inline>
        </w:drawing>
      </w:r>
    </w:p>
    <w:p w14:paraId="23204ED9" w14:textId="670EEECA" w:rsidR="00BC211A" w:rsidRPr="00FE718F" w:rsidRDefault="00166CEE" w:rsidP="00166CEE">
      <w:pPr>
        <w:pStyle w:val="Beschriftung"/>
        <w:jc w:val="both"/>
        <w:rPr>
          <w:rFonts w:ascii="Arial" w:hAnsi="Arial" w:cs="Arial"/>
          <w:kern w:val="0"/>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00FE718F" w:rsidRPr="00FE718F">
        <w:rPr>
          <w:rFonts w:ascii="Arial" w:hAnsi="Arial" w:cs="Arial"/>
          <w:noProof/>
        </w:rPr>
        <w:t>1</w:t>
      </w:r>
      <w:r w:rsidRPr="00FE718F">
        <w:rPr>
          <w:rFonts w:ascii="Arial" w:hAnsi="Arial" w:cs="Arial"/>
        </w:rPr>
        <w:fldChar w:fldCharType="end"/>
      </w:r>
      <w:r w:rsidRPr="00FE718F">
        <w:rPr>
          <w:rFonts w:ascii="Arial" w:hAnsi="Arial" w:cs="Arial"/>
        </w:rPr>
        <w:t>: Histogram Eulaema Nigrita abundances</w:t>
      </w:r>
    </w:p>
    <w:p w14:paraId="16D8D858"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The histogram of abundances closely resembled a Poisson distribution, prompting the application of a Generalized Linear Model (GLM) with a Poisson distribution.</w:t>
      </w:r>
    </w:p>
    <w:p w14:paraId="7D525AAA"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p>
    <w:p w14:paraId="11E1F263" w14:textId="2F04D78C"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We initiated the modeling process with a regular GLM using the Poisson family. However, this model exhibited substantial residual deviance of 17042 on 174 degrees of freedom, indicating serious overdispersion. Given this concern, we used a negative binomial distribution similar to the Poisson distribution but with an additional parameter addressing disproportionate variance.</w:t>
      </w:r>
    </w:p>
    <w:p w14:paraId="619FA123"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p>
    <w:p w14:paraId="6D82498F" w14:textId="496E8B85"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1</w:t>
      </w:r>
      <w:r w:rsidRPr="00FE718F">
        <w:rPr>
          <w:rFonts w:ascii="Arial" w:hAnsi="Arial" w:cs="Arial"/>
        </w:rPr>
        <w:fldChar w:fldCharType="end"/>
      </w:r>
      <w:r w:rsidRPr="00FE718F">
        <w:rPr>
          <w:rFonts w:ascii="Arial" w:hAnsi="Arial" w:cs="Arial"/>
        </w:rPr>
        <w:t>: General linear model negative binomial distribution (Eulaema nigrita ~ MAP + forest + Pseason)</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780C0199" w14:textId="77777777" w:rsidTr="00166CEE">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5625827E" w14:textId="4D2C28A1"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forest + Pseason)</w:t>
            </w:r>
          </w:p>
        </w:tc>
      </w:tr>
      <w:tr w:rsidR="00166CEE" w:rsidRPr="00FE718F" w14:paraId="58703729" w14:textId="77777777" w:rsidTr="00166CEE">
        <w:trPr>
          <w:gridAfter w:val="1"/>
          <w:wAfter w:w="82" w:type="dxa"/>
          <w:trHeight w:val="249"/>
        </w:trPr>
        <w:tc>
          <w:tcPr>
            <w:tcW w:w="1701" w:type="dxa"/>
            <w:tcBorders>
              <w:bottom w:val="double" w:sz="4" w:space="0" w:color="auto"/>
            </w:tcBorders>
          </w:tcPr>
          <w:p w14:paraId="7FA64503" w14:textId="59D0B658"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8B27CCD" w14:textId="738F2E93"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626A8FEC" w14:textId="16AEC4E3"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2D204D91" w14:textId="43DF353B"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4B4C7EAE" w14:textId="364CDAC3"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3478120A" w14:textId="77777777" w:rsidTr="00166CEE">
        <w:trPr>
          <w:gridAfter w:val="1"/>
          <w:wAfter w:w="82" w:type="dxa"/>
          <w:trHeight w:val="249"/>
        </w:trPr>
        <w:tc>
          <w:tcPr>
            <w:tcW w:w="1701" w:type="dxa"/>
            <w:tcBorders>
              <w:top w:val="double" w:sz="4" w:space="0" w:color="auto"/>
            </w:tcBorders>
          </w:tcPr>
          <w:p w14:paraId="64011707" w14:textId="5CA1D1DD"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18DD6068" w14:textId="51B8BBAF" w:rsidR="00166CEE" w:rsidRPr="00FE718F" w:rsidRDefault="00166CEE" w:rsidP="00A51F47">
            <w:pPr>
              <w:jc w:val="right"/>
              <w:rPr>
                <w:rFonts w:ascii="Arial" w:hAnsi="Arial" w:cs="Arial"/>
                <w:sz w:val="20"/>
                <w:szCs w:val="20"/>
              </w:rPr>
            </w:pPr>
            <w:r w:rsidRPr="00FE718F">
              <w:rPr>
                <w:rFonts w:ascii="Arial" w:hAnsi="Arial" w:cs="Arial"/>
                <w:sz w:val="20"/>
                <w:szCs w:val="20"/>
              </w:rPr>
              <w:t>5.348</w:t>
            </w:r>
          </w:p>
        </w:tc>
        <w:tc>
          <w:tcPr>
            <w:tcW w:w="1786" w:type="dxa"/>
            <w:tcBorders>
              <w:top w:val="double" w:sz="4" w:space="0" w:color="auto"/>
            </w:tcBorders>
          </w:tcPr>
          <w:p w14:paraId="7FC828BB" w14:textId="7A08BB11" w:rsidR="00166CEE" w:rsidRPr="00FE718F" w:rsidRDefault="00166CEE" w:rsidP="00A51F47">
            <w:pPr>
              <w:jc w:val="right"/>
              <w:rPr>
                <w:rFonts w:ascii="Arial" w:hAnsi="Arial" w:cs="Arial"/>
                <w:sz w:val="20"/>
                <w:szCs w:val="20"/>
              </w:rPr>
            </w:pPr>
            <w:r w:rsidRPr="00FE718F">
              <w:rPr>
                <w:rFonts w:ascii="Arial" w:hAnsi="Arial" w:cs="Arial"/>
                <w:sz w:val="20"/>
                <w:szCs w:val="20"/>
              </w:rPr>
              <w:t>0.422996</w:t>
            </w:r>
          </w:p>
        </w:tc>
        <w:tc>
          <w:tcPr>
            <w:tcW w:w="1781" w:type="dxa"/>
            <w:tcBorders>
              <w:top w:val="double" w:sz="4" w:space="0" w:color="auto"/>
            </w:tcBorders>
          </w:tcPr>
          <w:p w14:paraId="3CCF7B8E" w14:textId="43AF18F6" w:rsidR="00166CEE" w:rsidRPr="00FE718F" w:rsidRDefault="00166CEE" w:rsidP="00A51F47">
            <w:pPr>
              <w:jc w:val="right"/>
              <w:rPr>
                <w:rFonts w:ascii="Arial" w:hAnsi="Arial" w:cs="Arial"/>
                <w:sz w:val="20"/>
                <w:szCs w:val="20"/>
              </w:rPr>
            </w:pPr>
            <w:r w:rsidRPr="00FE718F">
              <w:rPr>
                <w:rFonts w:ascii="Arial" w:hAnsi="Arial" w:cs="Arial"/>
                <w:sz w:val="20"/>
                <w:szCs w:val="20"/>
              </w:rPr>
              <w:t>12.672</w:t>
            </w:r>
          </w:p>
        </w:tc>
        <w:tc>
          <w:tcPr>
            <w:tcW w:w="1783" w:type="dxa"/>
            <w:tcBorders>
              <w:top w:val="double" w:sz="4" w:space="0" w:color="auto"/>
            </w:tcBorders>
          </w:tcPr>
          <w:p w14:paraId="7EC3C688" w14:textId="4C3FA7FE"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0255945D" w14:textId="77777777" w:rsidTr="00166CEE">
        <w:trPr>
          <w:gridAfter w:val="1"/>
          <w:wAfter w:w="82" w:type="dxa"/>
          <w:trHeight w:val="249"/>
        </w:trPr>
        <w:tc>
          <w:tcPr>
            <w:tcW w:w="1701" w:type="dxa"/>
          </w:tcPr>
          <w:p w14:paraId="7D58DAB4" w14:textId="5491EE71"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54CB19C2" w14:textId="02279443" w:rsidR="00166CEE" w:rsidRPr="00FE718F" w:rsidRDefault="00166CEE" w:rsidP="00A51F47">
            <w:pPr>
              <w:jc w:val="right"/>
              <w:rPr>
                <w:rFonts w:ascii="Arial" w:hAnsi="Arial" w:cs="Arial"/>
                <w:sz w:val="20"/>
                <w:szCs w:val="20"/>
              </w:rPr>
            </w:pPr>
            <w:r w:rsidRPr="00FE718F">
              <w:rPr>
                <w:rFonts w:ascii="Arial" w:hAnsi="Arial" w:cs="Arial"/>
                <w:sz w:val="20"/>
                <w:szCs w:val="20"/>
              </w:rPr>
              <w:t>-0.00128</w:t>
            </w:r>
          </w:p>
        </w:tc>
        <w:tc>
          <w:tcPr>
            <w:tcW w:w="1786" w:type="dxa"/>
          </w:tcPr>
          <w:p w14:paraId="0EA816C0" w14:textId="02C65779" w:rsidR="00166CEE" w:rsidRPr="00FE718F" w:rsidRDefault="00166CEE" w:rsidP="00A51F47">
            <w:pPr>
              <w:jc w:val="right"/>
              <w:rPr>
                <w:rFonts w:ascii="Arial" w:hAnsi="Arial" w:cs="Arial"/>
                <w:sz w:val="20"/>
                <w:szCs w:val="20"/>
              </w:rPr>
            </w:pPr>
            <w:r w:rsidRPr="00FE718F">
              <w:rPr>
                <w:rFonts w:ascii="Arial" w:hAnsi="Arial" w:cs="Arial"/>
                <w:sz w:val="20"/>
                <w:szCs w:val="20"/>
              </w:rPr>
              <w:t>0.000214</w:t>
            </w:r>
          </w:p>
        </w:tc>
        <w:tc>
          <w:tcPr>
            <w:tcW w:w="1781" w:type="dxa"/>
          </w:tcPr>
          <w:p w14:paraId="617D6D1C" w14:textId="0A45D860" w:rsidR="00166CEE" w:rsidRPr="00FE718F" w:rsidRDefault="00166CEE" w:rsidP="00A51F47">
            <w:pPr>
              <w:jc w:val="right"/>
              <w:rPr>
                <w:rFonts w:ascii="Arial" w:hAnsi="Arial" w:cs="Arial"/>
                <w:sz w:val="20"/>
                <w:szCs w:val="20"/>
              </w:rPr>
            </w:pPr>
            <w:r w:rsidRPr="00FE718F">
              <w:rPr>
                <w:rFonts w:ascii="Arial" w:hAnsi="Arial" w:cs="Arial"/>
                <w:sz w:val="20"/>
                <w:szCs w:val="20"/>
              </w:rPr>
              <w:t>-5.966</w:t>
            </w:r>
          </w:p>
        </w:tc>
        <w:tc>
          <w:tcPr>
            <w:tcW w:w="1783" w:type="dxa"/>
          </w:tcPr>
          <w:p w14:paraId="23CFAF34" w14:textId="57E376DE" w:rsidR="00166CEE" w:rsidRPr="00FE718F" w:rsidRDefault="00166CEE" w:rsidP="00A51F47">
            <w:pPr>
              <w:jc w:val="right"/>
              <w:rPr>
                <w:rFonts w:ascii="Arial" w:hAnsi="Arial" w:cs="Arial"/>
                <w:sz w:val="20"/>
                <w:szCs w:val="20"/>
              </w:rPr>
            </w:pPr>
            <w:r w:rsidRPr="00FE718F">
              <w:rPr>
                <w:rFonts w:ascii="Arial" w:hAnsi="Arial" w:cs="Arial"/>
                <w:sz w:val="20"/>
                <w:szCs w:val="20"/>
              </w:rPr>
              <w:t>2.43e-9</w:t>
            </w:r>
          </w:p>
        </w:tc>
      </w:tr>
      <w:tr w:rsidR="00166CEE" w:rsidRPr="00FE718F" w14:paraId="7398564E" w14:textId="77777777" w:rsidTr="00166CEE">
        <w:trPr>
          <w:gridAfter w:val="1"/>
          <w:wAfter w:w="82" w:type="dxa"/>
          <w:trHeight w:val="249"/>
        </w:trPr>
        <w:tc>
          <w:tcPr>
            <w:tcW w:w="1701" w:type="dxa"/>
          </w:tcPr>
          <w:p w14:paraId="28296850" w14:textId="73D9294A" w:rsidR="00166CEE" w:rsidRPr="00FE718F" w:rsidRDefault="00166CEE" w:rsidP="00A51F47">
            <w:pPr>
              <w:jc w:val="both"/>
              <w:rPr>
                <w:rFonts w:ascii="Arial" w:hAnsi="Arial" w:cs="Arial"/>
                <w:sz w:val="20"/>
                <w:szCs w:val="20"/>
              </w:rPr>
            </w:pPr>
            <w:r w:rsidRPr="00FE718F">
              <w:rPr>
                <w:rFonts w:ascii="Arial" w:hAnsi="Arial" w:cs="Arial"/>
                <w:sz w:val="20"/>
                <w:szCs w:val="20"/>
              </w:rPr>
              <w:t>Forest</w:t>
            </w:r>
          </w:p>
        </w:tc>
        <w:tc>
          <w:tcPr>
            <w:tcW w:w="2043" w:type="dxa"/>
            <w:gridSpan w:val="2"/>
          </w:tcPr>
          <w:p w14:paraId="57938534" w14:textId="61113D4E" w:rsidR="00166CEE" w:rsidRPr="00FE718F" w:rsidRDefault="00166CEE" w:rsidP="00A51F47">
            <w:pPr>
              <w:jc w:val="right"/>
              <w:rPr>
                <w:rFonts w:ascii="Arial" w:hAnsi="Arial" w:cs="Arial"/>
                <w:sz w:val="20"/>
                <w:szCs w:val="20"/>
              </w:rPr>
            </w:pPr>
            <w:r w:rsidRPr="00FE718F">
              <w:rPr>
                <w:rFonts w:ascii="Arial" w:hAnsi="Arial" w:cs="Arial"/>
                <w:sz w:val="20"/>
                <w:szCs w:val="20"/>
              </w:rPr>
              <w:t>-1.09097</w:t>
            </w:r>
          </w:p>
        </w:tc>
        <w:tc>
          <w:tcPr>
            <w:tcW w:w="1786" w:type="dxa"/>
          </w:tcPr>
          <w:p w14:paraId="5169F8F3" w14:textId="66E5ADC9" w:rsidR="00166CEE" w:rsidRPr="00FE718F" w:rsidRDefault="00166CEE" w:rsidP="00A51F47">
            <w:pPr>
              <w:jc w:val="right"/>
              <w:rPr>
                <w:rFonts w:ascii="Arial" w:hAnsi="Arial" w:cs="Arial"/>
                <w:sz w:val="20"/>
                <w:szCs w:val="20"/>
              </w:rPr>
            </w:pPr>
            <w:r w:rsidRPr="00FE718F">
              <w:rPr>
                <w:rFonts w:ascii="Arial" w:hAnsi="Arial" w:cs="Arial"/>
                <w:sz w:val="20"/>
                <w:szCs w:val="20"/>
              </w:rPr>
              <w:t>0.317824</w:t>
            </w:r>
          </w:p>
        </w:tc>
        <w:tc>
          <w:tcPr>
            <w:tcW w:w="1781" w:type="dxa"/>
          </w:tcPr>
          <w:p w14:paraId="6980730B" w14:textId="7D08207A" w:rsidR="00166CEE" w:rsidRPr="00FE718F" w:rsidRDefault="00166CEE" w:rsidP="00A51F47">
            <w:pPr>
              <w:jc w:val="right"/>
              <w:rPr>
                <w:rFonts w:ascii="Arial" w:hAnsi="Arial" w:cs="Arial"/>
                <w:sz w:val="20"/>
                <w:szCs w:val="20"/>
              </w:rPr>
            </w:pPr>
            <w:r w:rsidRPr="00FE718F">
              <w:rPr>
                <w:rFonts w:ascii="Arial" w:hAnsi="Arial" w:cs="Arial"/>
                <w:sz w:val="20"/>
                <w:szCs w:val="20"/>
              </w:rPr>
              <w:t>-3.433</w:t>
            </w:r>
          </w:p>
        </w:tc>
        <w:tc>
          <w:tcPr>
            <w:tcW w:w="1783" w:type="dxa"/>
          </w:tcPr>
          <w:p w14:paraId="7FCA54FE" w14:textId="51C53ABD" w:rsidR="00166CEE" w:rsidRPr="00FE718F" w:rsidRDefault="00166CEE" w:rsidP="00A51F47">
            <w:pPr>
              <w:jc w:val="right"/>
              <w:rPr>
                <w:rFonts w:ascii="Arial" w:hAnsi="Arial" w:cs="Arial"/>
                <w:sz w:val="20"/>
                <w:szCs w:val="20"/>
              </w:rPr>
            </w:pPr>
            <w:r w:rsidRPr="00FE718F">
              <w:rPr>
                <w:rFonts w:ascii="Arial" w:hAnsi="Arial" w:cs="Arial"/>
                <w:sz w:val="20"/>
                <w:szCs w:val="20"/>
              </w:rPr>
              <w:t>5.98e-4</w:t>
            </w:r>
          </w:p>
        </w:tc>
      </w:tr>
      <w:tr w:rsidR="00166CEE" w:rsidRPr="00FE718F" w14:paraId="5B5EC429" w14:textId="77777777" w:rsidTr="00166CEE">
        <w:trPr>
          <w:gridAfter w:val="1"/>
          <w:wAfter w:w="82" w:type="dxa"/>
          <w:trHeight w:val="249"/>
        </w:trPr>
        <w:tc>
          <w:tcPr>
            <w:tcW w:w="2594" w:type="dxa"/>
            <w:gridSpan w:val="2"/>
            <w:tcBorders>
              <w:bottom w:val="double" w:sz="4" w:space="0" w:color="auto"/>
            </w:tcBorders>
          </w:tcPr>
          <w:p w14:paraId="3633E3F9" w14:textId="03AD2EFD" w:rsidR="00166CEE" w:rsidRPr="00FE718F" w:rsidRDefault="00166CEE" w:rsidP="00A51F47">
            <w:pPr>
              <w:jc w:val="both"/>
              <w:rPr>
                <w:rFonts w:ascii="Arial" w:hAnsi="Arial" w:cs="Arial"/>
                <w:sz w:val="20"/>
                <w:szCs w:val="20"/>
              </w:rPr>
            </w:pPr>
            <w:r w:rsidRPr="00FE718F">
              <w:rPr>
                <w:rFonts w:ascii="Arial" w:hAnsi="Arial" w:cs="Arial"/>
                <w:sz w:val="20"/>
                <w:szCs w:val="20"/>
              </w:rPr>
              <w:t>Pseason</w:t>
            </w:r>
          </w:p>
        </w:tc>
        <w:tc>
          <w:tcPr>
            <w:tcW w:w="1150" w:type="dxa"/>
            <w:tcBorders>
              <w:bottom w:val="double" w:sz="4" w:space="0" w:color="auto"/>
            </w:tcBorders>
          </w:tcPr>
          <w:p w14:paraId="7FBDA830" w14:textId="506AEC1C" w:rsidR="00166CEE" w:rsidRPr="00FE718F" w:rsidRDefault="00166CEE" w:rsidP="00A51F47">
            <w:pPr>
              <w:jc w:val="right"/>
              <w:rPr>
                <w:rFonts w:ascii="Arial" w:hAnsi="Arial" w:cs="Arial"/>
                <w:sz w:val="20"/>
                <w:szCs w:val="20"/>
              </w:rPr>
            </w:pPr>
            <w:r w:rsidRPr="00FE718F">
              <w:rPr>
                <w:rFonts w:ascii="Arial" w:hAnsi="Arial" w:cs="Arial"/>
                <w:sz w:val="20"/>
                <w:szCs w:val="20"/>
              </w:rPr>
              <w:t>0.01995</w:t>
            </w:r>
          </w:p>
        </w:tc>
        <w:tc>
          <w:tcPr>
            <w:tcW w:w="1786" w:type="dxa"/>
            <w:tcBorders>
              <w:bottom w:val="double" w:sz="4" w:space="0" w:color="auto"/>
            </w:tcBorders>
          </w:tcPr>
          <w:p w14:paraId="29EA2663" w14:textId="738C5636" w:rsidR="00166CEE" w:rsidRPr="00FE718F" w:rsidRDefault="00166CEE" w:rsidP="00A51F47">
            <w:pPr>
              <w:jc w:val="right"/>
              <w:rPr>
                <w:rFonts w:ascii="Arial" w:hAnsi="Arial" w:cs="Arial"/>
                <w:sz w:val="20"/>
                <w:szCs w:val="20"/>
              </w:rPr>
            </w:pPr>
            <w:r w:rsidRPr="00FE718F">
              <w:rPr>
                <w:rFonts w:ascii="Arial" w:hAnsi="Arial" w:cs="Arial"/>
                <w:sz w:val="20"/>
                <w:szCs w:val="20"/>
              </w:rPr>
              <w:t>0.004186</w:t>
            </w:r>
          </w:p>
        </w:tc>
        <w:tc>
          <w:tcPr>
            <w:tcW w:w="1781" w:type="dxa"/>
            <w:tcBorders>
              <w:bottom w:val="double" w:sz="4" w:space="0" w:color="auto"/>
            </w:tcBorders>
          </w:tcPr>
          <w:p w14:paraId="16CF5BA4" w14:textId="7AB1A37A" w:rsidR="00166CEE" w:rsidRPr="00FE718F" w:rsidRDefault="00166CEE" w:rsidP="00A51F47">
            <w:pPr>
              <w:jc w:val="right"/>
              <w:rPr>
                <w:rFonts w:ascii="Arial" w:hAnsi="Arial" w:cs="Arial"/>
                <w:sz w:val="20"/>
                <w:szCs w:val="20"/>
              </w:rPr>
            </w:pPr>
            <w:r w:rsidRPr="00FE718F">
              <w:rPr>
                <w:rFonts w:ascii="Arial" w:hAnsi="Arial" w:cs="Arial"/>
                <w:sz w:val="20"/>
                <w:szCs w:val="20"/>
              </w:rPr>
              <w:t>4.766</w:t>
            </w:r>
          </w:p>
        </w:tc>
        <w:tc>
          <w:tcPr>
            <w:tcW w:w="1783" w:type="dxa"/>
            <w:tcBorders>
              <w:bottom w:val="double" w:sz="4" w:space="0" w:color="auto"/>
            </w:tcBorders>
          </w:tcPr>
          <w:p w14:paraId="2BFB547B" w14:textId="1DD95F20" w:rsidR="00166CEE" w:rsidRPr="00FE718F" w:rsidRDefault="00166CEE" w:rsidP="00A51F47">
            <w:pPr>
              <w:jc w:val="right"/>
              <w:rPr>
                <w:rFonts w:ascii="Arial" w:hAnsi="Arial" w:cs="Arial"/>
                <w:sz w:val="20"/>
                <w:szCs w:val="20"/>
              </w:rPr>
            </w:pPr>
            <w:r w:rsidRPr="00FE718F">
              <w:rPr>
                <w:rFonts w:ascii="Arial" w:hAnsi="Arial" w:cs="Arial"/>
                <w:sz w:val="20"/>
                <w:szCs w:val="20"/>
              </w:rPr>
              <w:t>1.88e-6</w:t>
            </w:r>
          </w:p>
        </w:tc>
      </w:tr>
    </w:tbl>
    <w:p w14:paraId="72DEA3B6" w14:textId="77777777" w:rsidR="00BC211A" w:rsidRPr="00FE718F" w:rsidRDefault="00BC211A" w:rsidP="00BC211A">
      <w:pPr>
        <w:autoSpaceDE w:val="0"/>
        <w:autoSpaceDN w:val="0"/>
        <w:adjustRightInd w:val="0"/>
        <w:spacing w:after="0" w:line="240" w:lineRule="auto"/>
        <w:rPr>
          <w:rFonts w:ascii="Arial" w:hAnsi="Arial" w:cs="Arial"/>
          <w:kern w:val="0"/>
          <w:sz w:val="24"/>
          <w:szCs w:val="24"/>
          <w:lang w:val="de-DE"/>
        </w:rPr>
      </w:pPr>
    </w:p>
    <w:p w14:paraId="443CE34B" w14:textId="23F28898" w:rsidR="00BC211A" w:rsidRPr="00FE718F" w:rsidRDefault="00BC211A" w:rsidP="00D30F68">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 xml:space="preserve">The intercept represents the estimated log count when all predictor variables are zero (5.35). The negative slope for MAP </w:t>
      </w:r>
      <w:r w:rsidR="00166CEE" w:rsidRPr="00FE718F">
        <w:rPr>
          <w:rFonts w:ascii="Arial" w:hAnsi="Arial" w:cs="Arial"/>
          <w:kern w:val="0"/>
          <w:sz w:val="24"/>
          <w:szCs w:val="24"/>
          <w:lang w:val="de-DE"/>
        </w:rPr>
        <w:t xml:space="preserve">(-0.0013) </w:t>
      </w:r>
      <w:r w:rsidRPr="00FE718F">
        <w:rPr>
          <w:rFonts w:ascii="Arial" w:hAnsi="Arial" w:cs="Arial"/>
          <w:kern w:val="0"/>
          <w:sz w:val="24"/>
          <w:szCs w:val="24"/>
          <w:lang w:val="de-DE"/>
        </w:rPr>
        <w:t>and forest cover</w:t>
      </w:r>
      <w:r w:rsidR="00166CEE" w:rsidRPr="00FE718F">
        <w:rPr>
          <w:rFonts w:ascii="Arial" w:hAnsi="Arial" w:cs="Arial"/>
          <w:kern w:val="0"/>
          <w:sz w:val="24"/>
          <w:szCs w:val="24"/>
          <w:lang w:val="de-DE"/>
        </w:rPr>
        <w:t xml:space="preserve"> (-1.09)</w:t>
      </w:r>
      <w:r w:rsidRPr="00FE718F">
        <w:rPr>
          <w:rFonts w:ascii="Arial" w:hAnsi="Arial" w:cs="Arial"/>
          <w:kern w:val="0"/>
          <w:sz w:val="24"/>
          <w:szCs w:val="24"/>
          <w:lang w:val="de-DE"/>
        </w:rPr>
        <w:t xml:space="preserve"> indicates a decrease in the log count with increasing values of these variables</w:t>
      </w:r>
      <w:r w:rsidR="00B23543">
        <w:rPr>
          <w:rFonts w:ascii="Arial" w:hAnsi="Arial" w:cs="Arial"/>
          <w:kern w:val="0"/>
          <w:sz w:val="24"/>
          <w:szCs w:val="24"/>
          <w:lang w:val="de-DE"/>
        </w:rPr>
        <w:t>.</w:t>
      </w:r>
      <w:r w:rsidR="00D30F68">
        <w:rPr>
          <w:rFonts w:ascii="Arial" w:hAnsi="Arial" w:cs="Arial"/>
          <w:kern w:val="0"/>
          <w:sz w:val="24"/>
          <w:szCs w:val="24"/>
          <w:lang w:val="de-DE"/>
        </w:rPr>
        <w:t xml:space="preserve"> This translates to a 0.13% negative change in bee abundance for a one-unit change in MAP. The value for forest cover shows us that the abundance of bees in a landscape free of forest is about 109 % higher than in a complete forest.</w:t>
      </w:r>
      <w:r w:rsidR="00B23543">
        <w:rPr>
          <w:rFonts w:ascii="Arial" w:hAnsi="Arial" w:cs="Arial"/>
          <w:kern w:val="0"/>
          <w:sz w:val="24"/>
          <w:szCs w:val="24"/>
          <w:lang w:val="de-DE"/>
        </w:rPr>
        <w:t xml:space="preserve"> In contrast,</w:t>
      </w:r>
      <w:r w:rsidRPr="00FE718F">
        <w:rPr>
          <w:rFonts w:ascii="Arial" w:hAnsi="Arial" w:cs="Arial"/>
          <w:kern w:val="0"/>
          <w:sz w:val="24"/>
          <w:szCs w:val="24"/>
          <w:lang w:val="de-DE"/>
        </w:rPr>
        <w:t xml:space="preserve"> the positive slope for precipitation seasonality suggests an increase</w:t>
      </w:r>
      <w:r w:rsidR="00D30F68">
        <w:rPr>
          <w:rFonts w:ascii="Arial" w:hAnsi="Arial" w:cs="Arial"/>
          <w:kern w:val="0"/>
          <w:sz w:val="24"/>
          <w:szCs w:val="24"/>
          <w:lang w:val="de-DE"/>
        </w:rPr>
        <w:t xml:space="preserve"> of 2 %</w:t>
      </w:r>
      <w:r w:rsidRPr="00FE718F">
        <w:rPr>
          <w:rFonts w:ascii="Arial" w:hAnsi="Arial" w:cs="Arial"/>
          <w:kern w:val="0"/>
          <w:sz w:val="24"/>
          <w:szCs w:val="24"/>
          <w:lang w:val="de-DE"/>
        </w:rPr>
        <w:t xml:space="preserve"> </w:t>
      </w:r>
      <w:r w:rsidR="00B23543">
        <w:rPr>
          <w:rFonts w:ascii="Arial" w:hAnsi="Arial" w:cs="Arial"/>
          <w:kern w:val="0"/>
          <w:sz w:val="24"/>
          <w:szCs w:val="24"/>
          <w:lang w:val="de-DE"/>
        </w:rPr>
        <w:t>with an increasing percentage of precipitation seasonality</w:t>
      </w:r>
      <w:r w:rsidRPr="00FE718F">
        <w:rPr>
          <w:rFonts w:ascii="Arial" w:hAnsi="Arial" w:cs="Arial"/>
          <w:kern w:val="0"/>
          <w:sz w:val="24"/>
          <w:szCs w:val="24"/>
          <w:lang w:val="de-DE"/>
        </w:rPr>
        <w:t>. The dispersion parameter (0.8368) aligns with the appropriate fit of the negative binomial distribution.</w:t>
      </w:r>
    </w:p>
    <w:p w14:paraId="6DA39CA3" w14:textId="77777777" w:rsidR="00BC211A" w:rsidRPr="00FE718F" w:rsidRDefault="00BC211A" w:rsidP="00BC211A">
      <w:pPr>
        <w:autoSpaceDE w:val="0"/>
        <w:autoSpaceDN w:val="0"/>
        <w:adjustRightInd w:val="0"/>
        <w:spacing w:after="0" w:line="240" w:lineRule="auto"/>
        <w:rPr>
          <w:rFonts w:ascii="Arial" w:hAnsi="Arial" w:cs="Arial"/>
          <w:kern w:val="0"/>
          <w:sz w:val="24"/>
          <w:szCs w:val="24"/>
          <w:lang w:val="de-DE"/>
        </w:rPr>
      </w:pPr>
    </w:p>
    <w:p w14:paraId="6FB9BB46" w14:textId="43526F8E" w:rsidR="00FE718F"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lastRenderedPageBreak/>
        <w:t>After looking at the combined model incorporating all three predictor variables demonstrating their collective impact on the data, we created two negative binomial GLMs, one incorporating forest cover and mean annual precipitation and the other incorporating precipitation seasonality and mean annual precipitation. These models aimed to provide a nuanced understanding of the individual and combined effects of the predictor variables on Eulaema nigrita abundances.</w:t>
      </w:r>
    </w:p>
    <w:p w14:paraId="77385446" w14:textId="362AA0FC"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2</w:t>
      </w:r>
      <w:r w:rsidRPr="00FE718F">
        <w:rPr>
          <w:rFonts w:ascii="Arial" w:hAnsi="Arial" w:cs="Arial"/>
        </w:rPr>
        <w:fldChar w:fldCharType="end"/>
      </w:r>
      <w:r w:rsidRPr="00FE718F">
        <w:rPr>
          <w:rFonts w:ascii="Arial" w:hAnsi="Arial" w:cs="Arial"/>
        </w:rPr>
        <w:t>: General linear model negative binomial distribution (Eulaema nigrita ~ MAP + forest)</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48F33514" w14:textId="77777777" w:rsidTr="00A51F47">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2B3C7221" w14:textId="2DE1B686"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forest)</w:t>
            </w:r>
          </w:p>
        </w:tc>
      </w:tr>
      <w:tr w:rsidR="00166CEE" w:rsidRPr="00FE718F" w14:paraId="7FA6E845" w14:textId="77777777" w:rsidTr="00A51F47">
        <w:trPr>
          <w:gridAfter w:val="1"/>
          <w:wAfter w:w="82" w:type="dxa"/>
          <w:trHeight w:val="249"/>
        </w:trPr>
        <w:tc>
          <w:tcPr>
            <w:tcW w:w="1701" w:type="dxa"/>
            <w:tcBorders>
              <w:bottom w:val="double" w:sz="4" w:space="0" w:color="auto"/>
            </w:tcBorders>
          </w:tcPr>
          <w:p w14:paraId="354818FB"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9F3316C"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71BBC6B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4BC3231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1825DD49"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313CBE92" w14:textId="77777777" w:rsidTr="00A51F47">
        <w:trPr>
          <w:gridAfter w:val="1"/>
          <w:wAfter w:w="82" w:type="dxa"/>
          <w:trHeight w:val="249"/>
        </w:trPr>
        <w:tc>
          <w:tcPr>
            <w:tcW w:w="1701" w:type="dxa"/>
            <w:tcBorders>
              <w:top w:val="double" w:sz="4" w:space="0" w:color="auto"/>
            </w:tcBorders>
          </w:tcPr>
          <w:p w14:paraId="4129AC75"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76C9D50C" w14:textId="1BB23FAF" w:rsidR="00166CEE" w:rsidRPr="00FE718F" w:rsidRDefault="005C47EE" w:rsidP="00A51F47">
            <w:pPr>
              <w:jc w:val="right"/>
              <w:rPr>
                <w:rFonts w:ascii="Arial" w:hAnsi="Arial" w:cs="Arial"/>
                <w:sz w:val="20"/>
                <w:szCs w:val="20"/>
              </w:rPr>
            </w:pPr>
            <w:r w:rsidRPr="00FE718F">
              <w:rPr>
                <w:rFonts w:ascii="Arial" w:hAnsi="Arial" w:cs="Arial"/>
                <w:sz w:val="20"/>
                <w:szCs w:val="20"/>
              </w:rPr>
              <w:t>6.67929</w:t>
            </w:r>
          </w:p>
        </w:tc>
        <w:tc>
          <w:tcPr>
            <w:tcW w:w="1786" w:type="dxa"/>
            <w:tcBorders>
              <w:top w:val="double" w:sz="4" w:space="0" w:color="auto"/>
            </w:tcBorders>
          </w:tcPr>
          <w:p w14:paraId="37FF37AE" w14:textId="39DF70E5" w:rsidR="00166CEE" w:rsidRPr="00FE718F" w:rsidRDefault="005C47EE" w:rsidP="00A51F47">
            <w:pPr>
              <w:jc w:val="right"/>
              <w:rPr>
                <w:rFonts w:ascii="Arial" w:hAnsi="Arial" w:cs="Arial"/>
                <w:sz w:val="20"/>
                <w:szCs w:val="20"/>
              </w:rPr>
            </w:pPr>
            <w:r w:rsidRPr="00FE718F">
              <w:rPr>
                <w:rFonts w:ascii="Arial" w:hAnsi="Arial" w:cs="Arial"/>
                <w:sz w:val="20"/>
                <w:szCs w:val="20"/>
              </w:rPr>
              <w:t>0.32959</w:t>
            </w:r>
          </w:p>
        </w:tc>
        <w:tc>
          <w:tcPr>
            <w:tcW w:w="1781" w:type="dxa"/>
            <w:tcBorders>
              <w:top w:val="double" w:sz="4" w:space="0" w:color="auto"/>
            </w:tcBorders>
          </w:tcPr>
          <w:p w14:paraId="5507CDAD" w14:textId="217FBEE8" w:rsidR="00166CEE" w:rsidRPr="00FE718F" w:rsidRDefault="005C47EE" w:rsidP="00A51F47">
            <w:pPr>
              <w:jc w:val="right"/>
              <w:rPr>
                <w:rFonts w:ascii="Arial" w:hAnsi="Arial" w:cs="Arial"/>
                <w:sz w:val="20"/>
                <w:szCs w:val="20"/>
              </w:rPr>
            </w:pPr>
            <w:r w:rsidRPr="00FE718F">
              <w:rPr>
                <w:rFonts w:ascii="Arial" w:hAnsi="Arial" w:cs="Arial"/>
                <w:sz w:val="20"/>
                <w:szCs w:val="20"/>
              </w:rPr>
              <w:t>20.265</w:t>
            </w:r>
          </w:p>
        </w:tc>
        <w:tc>
          <w:tcPr>
            <w:tcW w:w="1783" w:type="dxa"/>
            <w:tcBorders>
              <w:top w:val="double" w:sz="4" w:space="0" w:color="auto"/>
            </w:tcBorders>
          </w:tcPr>
          <w:p w14:paraId="276A39EB"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1208B033" w14:textId="77777777" w:rsidTr="00A51F47">
        <w:trPr>
          <w:gridAfter w:val="1"/>
          <w:wAfter w:w="82" w:type="dxa"/>
          <w:trHeight w:val="249"/>
        </w:trPr>
        <w:tc>
          <w:tcPr>
            <w:tcW w:w="1701" w:type="dxa"/>
          </w:tcPr>
          <w:p w14:paraId="0267A47C"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5D1DDA6C" w14:textId="667F44E0" w:rsidR="00166CEE" w:rsidRPr="00FE718F" w:rsidRDefault="005C47EE" w:rsidP="00A51F47">
            <w:pPr>
              <w:jc w:val="right"/>
              <w:rPr>
                <w:rFonts w:ascii="Arial" w:hAnsi="Arial" w:cs="Arial"/>
                <w:sz w:val="20"/>
                <w:szCs w:val="20"/>
              </w:rPr>
            </w:pPr>
            <w:r w:rsidRPr="00FE718F">
              <w:rPr>
                <w:rFonts w:ascii="Arial" w:hAnsi="Arial" w:cs="Arial"/>
                <w:sz w:val="20"/>
                <w:szCs w:val="20"/>
              </w:rPr>
              <w:t>-0.0014</w:t>
            </w:r>
          </w:p>
        </w:tc>
        <w:tc>
          <w:tcPr>
            <w:tcW w:w="1786" w:type="dxa"/>
          </w:tcPr>
          <w:p w14:paraId="5D5155F9" w14:textId="32CEAE8A" w:rsidR="00166CEE" w:rsidRPr="00FE718F" w:rsidRDefault="005C47EE" w:rsidP="00A51F47">
            <w:pPr>
              <w:jc w:val="right"/>
              <w:rPr>
                <w:rFonts w:ascii="Arial" w:hAnsi="Arial" w:cs="Arial"/>
                <w:sz w:val="20"/>
                <w:szCs w:val="20"/>
              </w:rPr>
            </w:pPr>
            <w:r w:rsidRPr="00FE718F">
              <w:rPr>
                <w:rFonts w:ascii="Arial" w:hAnsi="Arial" w:cs="Arial"/>
                <w:sz w:val="20"/>
                <w:szCs w:val="20"/>
              </w:rPr>
              <w:t>0.00022</w:t>
            </w:r>
          </w:p>
        </w:tc>
        <w:tc>
          <w:tcPr>
            <w:tcW w:w="1781" w:type="dxa"/>
          </w:tcPr>
          <w:p w14:paraId="145C2227" w14:textId="5DB7F07F" w:rsidR="00166CEE" w:rsidRPr="00FE718F" w:rsidRDefault="005C47EE" w:rsidP="00A51F47">
            <w:pPr>
              <w:jc w:val="right"/>
              <w:rPr>
                <w:rFonts w:ascii="Arial" w:hAnsi="Arial" w:cs="Arial"/>
                <w:sz w:val="20"/>
                <w:szCs w:val="20"/>
              </w:rPr>
            </w:pPr>
            <w:r w:rsidRPr="00FE718F">
              <w:rPr>
                <w:rFonts w:ascii="Arial" w:hAnsi="Arial" w:cs="Arial"/>
                <w:sz w:val="20"/>
                <w:szCs w:val="20"/>
              </w:rPr>
              <w:t>-6.242</w:t>
            </w:r>
          </w:p>
        </w:tc>
        <w:tc>
          <w:tcPr>
            <w:tcW w:w="1783" w:type="dxa"/>
          </w:tcPr>
          <w:p w14:paraId="2D96ECD7" w14:textId="3611BCB2" w:rsidR="00166CEE" w:rsidRPr="00FE718F" w:rsidRDefault="005C47EE" w:rsidP="00A51F47">
            <w:pPr>
              <w:jc w:val="right"/>
              <w:rPr>
                <w:rFonts w:ascii="Arial" w:hAnsi="Arial" w:cs="Arial"/>
                <w:sz w:val="20"/>
                <w:szCs w:val="20"/>
              </w:rPr>
            </w:pPr>
            <w:r w:rsidRPr="00FE718F">
              <w:rPr>
                <w:rFonts w:ascii="Arial" w:hAnsi="Arial" w:cs="Arial"/>
                <w:sz w:val="20"/>
                <w:szCs w:val="20"/>
              </w:rPr>
              <w:t>4.32e-10</w:t>
            </w:r>
          </w:p>
        </w:tc>
      </w:tr>
      <w:tr w:rsidR="00166CEE" w:rsidRPr="00FE718F" w14:paraId="15D1A646" w14:textId="77777777" w:rsidTr="00A51F47">
        <w:trPr>
          <w:gridAfter w:val="1"/>
          <w:wAfter w:w="82" w:type="dxa"/>
          <w:trHeight w:val="249"/>
        </w:trPr>
        <w:tc>
          <w:tcPr>
            <w:tcW w:w="2594" w:type="dxa"/>
            <w:gridSpan w:val="2"/>
            <w:tcBorders>
              <w:bottom w:val="double" w:sz="4" w:space="0" w:color="auto"/>
            </w:tcBorders>
          </w:tcPr>
          <w:p w14:paraId="5FE795C9" w14:textId="601D26BF" w:rsidR="00166CEE" w:rsidRPr="00FE718F" w:rsidRDefault="005C47EE" w:rsidP="00A51F47">
            <w:pPr>
              <w:jc w:val="both"/>
              <w:rPr>
                <w:rFonts w:ascii="Arial" w:hAnsi="Arial" w:cs="Arial"/>
                <w:sz w:val="20"/>
                <w:szCs w:val="20"/>
              </w:rPr>
            </w:pPr>
            <w:r w:rsidRPr="00FE718F">
              <w:rPr>
                <w:rFonts w:ascii="Arial" w:hAnsi="Arial" w:cs="Arial"/>
                <w:sz w:val="20"/>
                <w:szCs w:val="20"/>
              </w:rPr>
              <w:t>Forest</w:t>
            </w:r>
          </w:p>
        </w:tc>
        <w:tc>
          <w:tcPr>
            <w:tcW w:w="1150" w:type="dxa"/>
            <w:tcBorders>
              <w:bottom w:val="double" w:sz="4" w:space="0" w:color="auto"/>
            </w:tcBorders>
          </w:tcPr>
          <w:p w14:paraId="526A1BE1" w14:textId="2948489F" w:rsidR="00166CEE" w:rsidRPr="00FE718F" w:rsidRDefault="005C47EE" w:rsidP="00A51F47">
            <w:pPr>
              <w:jc w:val="right"/>
              <w:rPr>
                <w:rFonts w:ascii="Arial" w:hAnsi="Arial" w:cs="Arial"/>
                <w:sz w:val="20"/>
                <w:szCs w:val="20"/>
              </w:rPr>
            </w:pPr>
            <w:r w:rsidRPr="00FE718F">
              <w:rPr>
                <w:rFonts w:ascii="Arial" w:hAnsi="Arial" w:cs="Arial"/>
                <w:sz w:val="20"/>
                <w:szCs w:val="20"/>
              </w:rPr>
              <w:t>-1.3318</w:t>
            </w:r>
          </w:p>
        </w:tc>
        <w:tc>
          <w:tcPr>
            <w:tcW w:w="1786" w:type="dxa"/>
            <w:tcBorders>
              <w:bottom w:val="double" w:sz="4" w:space="0" w:color="auto"/>
            </w:tcBorders>
          </w:tcPr>
          <w:p w14:paraId="4BBC7B1A" w14:textId="518582E1" w:rsidR="00166CEE" w:rsidRPr="00FE718F" w:rsidRDefault="005C47EE" w:rsidP="00A51F47">
            <w:pPr>
              <w:jc w:val="right"/>
              <w:rPr>
                <w:rFonts w:ascii="Arial" w:hAnsi="Arial" w:cs="Arial"/>
                <w:sz w:val="20"/>
                <w:szCs w:val="20"/>
              </w:rPr>
            </w:pPr>
            <w:r w:rsidRPr="00FE718F">
              <w:rPr>
                <w:rFonts w:ascii="Arial" w:hAnsi="Arial" w:cs="Arial"/>
                <w:sz w:val="20"/>
                <w:szCs w:val="20"/>
              </w:rPr>
              <w:t>0.31706</w:t>
            </w:r>
          </w:p>
        </w:tc>
        <w:tc>
          <w:tcPr>
            <w:tcW w:w="1781" w:type="dxa"/>
            <w:tcBorders>
              <w:bottom w:val="double" w:sz="4" w:space="0" w:color="auto"/>
            </w:tcBorders>
          </w:tcPr>
          <w:p w14:paraId="18CB71A9" w14:textId="2E0D9FC5" w:rsidR="00166CEE" w:rsidRPr="00FE718F" w:rsidRDefault="005C47EE" w:rsidP="00A51F47">
            <w:pPr>
              <w:jc w:val="right"/>
              <w:rPr>
                <w:rFonts w:ascii="Arial" w:hAnsi="Arial" w:cs="Arial"/>
                <w:sz w:val="20"/>
                <w:szCs w:val="20"/>
              </w:rPr>
            </w:pPr>
            <w:r w:rsidRPr="00FE718F">
              <w:rPr>
                <w:rFonts w:ascii="Arial" w:hAnsi="Arial" w:cs="Arial"/>
                <w:sz w:val="20"/>
                <w:szCs w:val="20"/>
              </w:rPr>
              <w:t>-4.137</w:t>
            </w:r>
          </w:p>
        </w:tc>
        <w:tc>
          <w:tcPr>
            <w:tcW w:w="1783" w:type="dxa"/>
            <w:tcBorders>
              <w:bottom w:val="double" w:sz="4" w:space="0" w:color="auto"/>
            </w:tcBorders>
          </w:tcPr>
          <w:p w14:paraId="4FD4125F" w14:textId="6DA92BEC" w:rsidR="00166CEE" w:rsidRPr="00FE718F" w:rsidRDefault="005C47EE" w:rsidP="00A51F47">
            <w:pPr>
              <w:jc w:val="right"/>
              <w:rPr>
                <w:rFonts w:ascii="Arial" w:hAnsi="Arial" w:cs="Arial"/>
                <w:sz w:val="20"/>
                <w:szCs w:val="20"/>
              </w:rPr>
            </w:pPr>
            <w:r w:rsidRPr="00FE718F">
              <w:rPr>
                <w:rFonts w:ascii="Arial" w:hAnsi="Arial" w:cs="Arial"/>
                <w:sz w:val="20"/>
                <w:szCs w:val="20"/>
              </w:rPr>
              <w:t>3.51e-05</w:t>
            </w:r>
          </w:p>
        </w:tc>
      </w:tr>
    </w:tbl>
    <w:p w14:paraId="3E429B52" w14:textId="77777777" w:rsidR="00166CEE" w:rsidRPr="00FE718F" w:rsidRDefault="00166CEE" w:rsidP="00AA03DA">
      <w:pPr>
        <w:jc w:val="both"/>
        <w:rPr>
          <w:rFonts w:ascii="Arial" w:hAnsi="Arial" w:cs="Arial"/>
          <w:kern w:val="0"/>
          <w:sz w:val="24"/>
          <w:szCs w:val="24"/>
          <w:lang w:val="de-DE"/>
        </w:rPr>
      </w:pPr>
    </w:p>
    <w:p w14:paraId="52FB9A1E" w14:textId="22D96626"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3</w:t>
      </w:r>
      <w:r w:rsidRPr="00FE718F">
        <w:rPr>
          <w:rFonts w:ascii="Arial" w:hAnsi="Arial" w:cs="Arial"/>
        </w:rPr>
        <w:fldChar w:fldCharType="end"/>
      </w:r>
      <w:r w:rsidRPr="00FE718F">
        <w:rPr>
          <w:rFonts w:ascii="Arial" w:hAnsi="Arial" w:cs="Arial"/>
        </w:rPr>
        <w:t>: General linear model negative binomial distribution (Eulaema nigrita ~ MAP + Pseason)</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75F12B46" w14:textId="77777777" w:rsidTr="00A51F47">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66A2284E" w14:textId="483E0408"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Pseason)</w:t>
            </w:r>
          </w:p>
        </w:tc>
      </w:tr>
      <w:tr w:rsidR="00166CEE" w:rsidRPr="00FE718F" w14:paraId="734BA9C0" w14:textId="77777777" w:rsidTr="00A51F47">
        <w:trPr>
          <w:gridAfter w:val="1"/>
          <w:wAfter w:w="82" w:type="dxa"/>
          <w:trHeight w:val="249"/>
        </w:trPr>
        <w:tc>
          <w:tcPr>
            <w:tcW w:w="1701" w:type="dxa"/>
            <w:tcBorders>
              <w:bottom w:val="double" w:sz="4" w:space="0" w:color="auto"/>
            </w:tcBorders>
          </w:tcPr>
          <w:p w14:paraId="40160EB2"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93E9CA8"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620C924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17547EF1"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1F96B287"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27DEA0C3" w14:textId="77777777" w:rsidTr="00A51F47">
        <w:trPr>
          <w:gridAfter w:val="1"/>
          <w:wAfter w:w="82" w:type="dxa"/>
          <w:trHeight w:val="249"/>
        </w:trPr>
        <w:tc>
          <w:tcPr>
            <w:tcW w:w="1701" w:type="dxa"/>
            <w:tcBorders>
              <w:top w:val="double" w:sz="4" w:space="0" w:color="auto"/>
            </w:tcBorders>
          </w:tcPr>
          <w:p w14:paraId="38BC1A3E"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2347A127" w14:textId="26826FD6" w:rsidR="00166CEE" w:rsidRPr="00FE718F" w:rsidRDefault="005C47EE" w:rsidP="00A51F47">
            <w:pPr>
              <w:jc w:val="right"/>
              <w:rPr>
                <w:rFonts w:ascii="Arial" w:hAnsi="Arial" w:cs="Arial"/>
                <w:sz w:val="20"/>
                <w:szCs w:val="20"/>
              </w:rPr>
            </w:pPr>
            <w:r w:rsidRPr="00FE718F">
              <w:rPr>
                <w:rFonts w:ascii="Arial" w:hAnsi="Arial" w:cs="Arial"/>
                <w:sz w:val="20"/>
                <w:szCs w:val="20"/>
              </w:rPr>
              <w:t>5.03358</w:t>
            </w:r>
          </w:p>
        </w:tc>
        <w:tc>
          <w:tcPr>
            <w:tcW w:w="1786" w:type="dxa"/>
            <w:tcBorders>
              <w:top w:val="double" w:sz="4" w:space="0" w:color="auto"/>
            </w:tcBorders>
          </w:tcPr>
          <w:p w14:paraId="0DFE2CD6" w14:textId="29A5B9A6" w:rsidR="00166CEE" w:rsidRPr="00FE718F" w:rsidRDefault="005C47EE" w:rsidP="00A51F47">
            <w:pPr>
              <w:jc w:val="right"/>
              <w:rPr>
                <w:rFonts w:ascii="Arial" w:hAnsi="Arial" w:cs="Arial"/>
                <w:sz w:val="20"/>
                <w:szCs w:val="20"/>
              </w:rPr>
            </w:pPr>
            <w:r w:rsidRPr="00FE718F">
              <w:rPr>
                <w:rFonts w:ascii="Arial" w:hAnsi="Arial" w:cs="Arial"/>
                <w:sz w:val="20"/>
                <w:szCs w:val="20"/>
              </w:rPr>
              <w:t>0.412482</w:t>
            </w:r>
          </w:p>
        </w:tc>
        <w:tc>
          <w:tcPr>
            <w:tcW w:w="1781" w:type="dxa"/>
            <w:tcBorders>
              <w:top w:val="double" w:sz="4" w:space="0" w:color="auto"/>
            </w:tcBorders>
          </w:tcPr>
          <w:p w14:paraId="6B0AD526" w14:textId="4796AF32" w:rsidR="00166CEE" w:rsidRPr="00FE718F" w:rsidRDefault="005C47EE" w:rsidP="00A51F47">
            <w:pPr>
              <w:jc w:val="right"/>
              <w:rPr>
                <w:rFonts w:ascii="Arial" w:hAnsi="Arial" w:cs="Arial"/>
                <w:sz w:val="20"/>
                <w:szCs w:val="20"/>
              </w:rPr>
            </w:pPr>
            <w:r w:rsidRPr="00FE718F">
              <w:rPr>
                <w:rFonts w:ascii="Arial" w:hAnsi="Arial" w:cs="Arial"/>
                <w:sz w:val="20"/>
                <w:szCs w:val="20"/>
              </w:rPr>
              <w:t>12.203</w:t>
            </w:r>
          </w:p>
        </w:tc>
        <w:tc>
          <w:tcPr>
            <w:tcW w:w="1783" w:type="dxa"/>
            <w:tcBorders>
              <w:top w:val="double" w:sz="4" w:space="0" w:color="auto"/>
            </w:tcBorders>
          </w:tcPr>
          <w:p w14:paraId="199FF09E"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17D44EDE" w14:textId="77777777" w:rsidTr="00A51F47">
        <w:trPr>
          <w:gridAfter w:val="1"/>
          <w:wAfter w:w="82" w:type="dxa"/>
          <w:trHeight w:val="249"/>
        </w:trPr>
        <w:tc>
          <w:tcPr>
            <w:tcW w:w="1701" w:type="dxa"/>
          </w:tcPr>
          <w:p w14:paraId="22CA17A2"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3DF95D92" w14:textId="462FA20E" w:rsidR="00166CEE" w:rsidRPr="00FE718F" w:rsidRDefault="005C47EE" w:rsidP="00A51F47">
            <w:pPr>
              <w:jc w:val="right"/>
              <w:rPr>
                <w:rFonts w:ascii="Arial" w:hAnsi="Arial" w:cs="Arial"/>
                <w:sz w:val="20"/>
                <w:szCs w:val="20"/>
              </w:rPr>
            </w:pPr>
            <w:r w:rsidRPr="00FE718F">
              <w:rPr>
                <w:rFonts w:ascii="Arial" w:hAnsi="Arial" w:cs="Arial"/>
                <w:sz w:val="20"/>
                <w:szCs w:val="20"/>
              </w:rPr>
              <w:t>-0.00145</w:t>
            </w:r>
          </w:p>
        </w:tc>
        <w:tc>
          <w:tcPr>
            <w:tcW w:w="1786" w:type="dxa"/>
          </w:tcPr>
          <w:p w14:paraId="22877AF7" w14:textId="4DC957E7" w:rsidR="00166CEE" w:rsidRPr="00FE718F" w:rsidRDefault="00166CEE" w:rsidP="00A51F47">
            <w:pPr>
              <w:jc w:val="right"/>
              <w:rPr>
                <w:rFonts w:ascii="Arial" w:hAnsi="Arial" w:cs="Arial"/>
                <w:sz w:val="20"/>
                <w:szCs w:val="20"/>
              </w:rPr>
            </w:pPr>
            <w:r w:rsidRPr="00FE718F">
              <w:rPr>
                <w:rFonts w:ascii="Arial" w:hAnsi="Arial" w:cs="Arial"/>
                <w:sz w:val="20"/>
                <w:szCs w:val="20"/>
              </w:rPr>
              <w:t>0.00021</w:t>
            </w:r>
            <w:r w:rsidR="005C47EE" w:rsidRPr="00FE718F">
              <w:rPr>
                <w:rFonts w:ascii="Arial" w:hAnsi="Arial" w:cs="Arial"/>
                <w:sz w:val="20"/>
                <w:szCs w:val="20"/>
              </w:rPr>
              <w:t>6</w:t>
            </w:r>
          </w:p>
        </w:tc>
        <w:tc>
          <w:tcPr>
            <w:tcW w:w="1781" w:type="dxa"/>
          </w:tcPr>
          <w:p w14:paraId="42850FCD" w14:textId="42D704E9" w:rsidR="00166CEE" w:rsidRPr="00FE718F" w:rsidRDefault="005C47EE" w:rsidP="00A51F47">
            <w:pPr>
              <w:jc w:val="right"/>
              <w:rPr>
                <w:rFonts w:ascii="Arial" w:hAnsi="Arial" w:cs="Arial"/>
                <w:sz w:val="20"/>
                <w:szCs w:val="20"/>
              </w:rPr>
            </w:pPr>
            <w:r w:rsidRPr="00FE718F">
              <w:rPr>
                <w:rFonts w:ascii="Arial" w:hAnsi="Arial" w:cs="Arial"/>
                <w:sz w:val="20"/>
                <w:szCs w:val="20"/>
              </w:rPr>
              <w:t>-6.696</w:t>
            </w:r>
          </w:p>
        </w:tc>
        <w:tc>
          <w:tcPr>
            <w:tcW w:w="1783" w:type="dxa"/>
          </w:tcPr>
          <w:p w14:paraId="05BBFC8D" w14:textId="5C4E236A" w:rsidR="00166CEE" w:rsidRPr="00FE718F" w:rsidRDefault="005C47EE" w:rsidP="00A51F47">
            <w:pPr>
              <w:jc w:val="right"/>
              <w:rPr>
                <w:rFonts w:ascii="Arial" w:hAnsi="Arial" w:cs="Arial"/>
                <w:sz w:val="20"/>
                <w:szCs w:val="20"/>
              </w:rPr>
            </w:pPr>
            <w:r w:rsidRPr="00FE718F">
              <w:rPr>
                <w:rFonts w:ascii="Arial" w:hAnsi="Arial" w:cs="Arial"/>
                <w:sz w:val="20"/>
                <w:szCs w:val="20"/>
              </w:rPr>
              <w:t>2.14e-11</w:t>
            </w:r>
          </w:p>
        </w:tc>
      </w:tr>
      <w:tr w:rsidR="00166CEE" w:rsidRPr="00FE718F" w14:paraId="0ABF10FF" w14:textId="77777777" w:rsidTr="00A51F47">
        <w:trPr>
          <w:gridAfter w:val="1"/>
          <w:wAfter w:w="82" w:type="dxa"/>
          <w:trHeight w:val="249"/>
        </w:trPr>
        <w:tc>
          <w:tcPr>
            <w:tcW w:w="2594" w:type="dxa"/>
            <w:gridSpan w:val="2"/>
            <w:tcBorders>
              <w:bottom w:val="double" w:sz="4" w:space="0" w:color="auto"/>
            </w:tcBorders>
          </w:tcPr>
          <w:p w14:paraId="1AB935CD"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Pseason</w:t>
            </w:r>
          </w:p>
        </w:tc>
        <w:tc>
          <w:tcPr>
            <w:tcW w:w="1150" w:type="dxa"/>
            <w:tcBorders>
              <w:bottom w:val="double" w:sz="4" w:space="0" w:color="auto"/>
            </w:tcBorders>
          </w:tcPr>
          <w:p w14:paraId="4E51A7DA" w14:textId="17C31D46" w:rsidR="00166CEE" w:rsidRPr="00FE718F" w:rsidRDefault="005C47EE" w:rsidP="00A51F47">
            <w:pPr>
              <w:jc w:val="right"/>
              <w:rPr>
                <w:rFonts w:ascii="Arial" w:hAnsi="Arial" w:cs="Arial"/>
                <w:sz w:val="20"/>
                <w:szCs w:val="20"/>
              </w:rPr>
            </w:pPr>
            <w:r w:rsidRPr="00FE718F">
              <w:rPr>
                <w:rFonts w:ascii="Arial" w:hAnsi="Arial" w:cs="Arial"/>
                <w:sz w:val="20"/>
                <w:szCs w:val="20"/>
              </w:rPr>
              <w:t>0.02384</w:t>
            </w:r>
          </w:p>
        </w:tc>
        <w:tc>
          <w:tcPr>
            <w:tcW w:w="1786" w:type="dxa"/>
            <w:tcBorders>
              <w:bottom w:val="double" w:sz="4" w:space="0" w:color="auto"/>
            </w:tcBorders>
          </w:tcPr>
          <w:p w14:paraId="2DA140BF" w14:textId="69C79B82" w:rsidR="00166CEE" w:rsidRPr="00FE718F" w:rsidRDefault="005C47EE" w:rsidP="00A51F47">
            <w:pPr>
              <w:jc w:val="right"/>
              <w:rPr>
                <w:rFonts w:ascii="Arial" w:hAnsi="Arial" w:cs="Arial"/>
                <w:sz w:val="20"/>
                <w:szCs w:val="20"/>
              </w:rPr>
            </w:pPr>
            <w:r w:rsidRPr="00FE718F">
              <w:rPr>
                <w:rFonts w:ascii="Arial" w:hAnsi="Arial" w:cs="Arial"/>
                <w:sz w:val="20"/>
                <w:szCs w:val="20"/>
              </w:rPr>
              <w:t>0.004079</w:t>
            </w:r>
          </w:p>
        </w:tc>
        <w:tc>
          <w:tcPr>
            <w:tcW w:w="1781" w:type="dxa"/>
            <w:tcBorders>
              <w:bottom w:val="double" w:sz="4" w:space="0" w:color="auto"/>
            </w:tcBorders>
          </w:tcPr>
          <w:p w14:paraId="1E3D9E1B" w14:textId="127B0A64" w:rsidR="00166CEE" w:rsidRPr="00FE718F" w:rsidRDefault="005C47EE" w:rsidP="00A51F47">
            <w:pPr>
              <w:jc w:val="right"/>
              <w:rPr>
                <w:rFonts w:ascii="Arial" w:hAnsi="Arial" w:cs="Arial"/>
                <w:sz w:val="20"/>
                <w:szCs w:val="20"/>
              </w:rPr>
            </w:pPr>
            <w:r w:rsidRPr="00FE718F">
              <w:rPr>
                <w:rFonts w:ascii="Arial" w:hAnsi="Arial" w:cs="Arial"/>
                <w:sz w:val="20"/>
                <w:szCs w:val="20"/>
              </w:rPr>
              <w:t>5.844</w:t>
            </w:r>
          </w:p>
        </w:tc>
        <w:tc>
          <w:tcPr>
            <w:tcW w:w="1783" w:type="dxa"/>
            <w:tcBorders>
              <w:bottom w:val="double" w:sz="4" w:space="0" w:color="auto"/>
            </w:tcBorders>
          </w:tcPr>
          <w:p w14:paraId="3CE7268F" w14:textId="15677FC7" w:rsidR="00166CEE" w:rsidRPr="00FE718F" w:rsidRDefault="005C47EE" w:rsidP="00A51F47">
            <w:pPr>
              <w:jc w:val="right"/>
              <w:rPr>
                <w:rFonts w:ascii="Arial" w:hAnsi="Arial" w:cs="Arial"/>
                <w:sz w:val="20"/>
                <w:szCs w:val="20"/>
              </w:rPr>
            </w:pPr>
            <w:r w:rsidRPr="00FE718F">
              <w:rPr>
                <w:rFonts w:ascii="Arial" w:hAnsi="Arial" w:cs="Arial"/>
                <w:sz w:val="20"/>
                <w:szCs w:val="20"/>
              </w:rPr>
              <w:t>5.1e-09</w:t>
            </w:r>
          </w:p>
        </w:tc>
      </w:tr>
    </w:tbl>
    <w:p w14:paraId="47011649" w14:textId="77777777" w:rsidR="00FE718F" w:rsidRPr="00FE718F" w:rsidRDefault="00FE718F" w:rsidP="00AA03DA">
      <w:pPr>
        <w:jc w:val="both"/>
        <w:rPr>
          <w:rFonts w:ascii="Arial" w:hAnsi="Arial" w:cs="Arial"/>
          <w:kern w:val="0"/>
          <w:sz w:val="24"/>
          <w:szCs w:val="24"/>
          <w:lang w:val="de-DE"/>
        </w:rPr>
      </w:pPr>
    </w:p>
    <w:p w14:paraId="71AA6DDF" w14:textId="2F73BE3E" w:rsidR="00FE718F" w:rsidRDefault="00FE718F" w:rsidP="00AA03DA">
      <w:pPr>
        <w:jc w:val="both"/>
        <w:rPr>
          <w:rFonts w:ascii="Arial" w:hAnsi="Arial" w:cs="Arial"/>
          <w:kern w:val="0"/>
          <w:sz w:val="24"/>
          <w:szCs w:val="24"/>
          <w:lang w:val="de-DE"/>
        </w:rPr>
      </w:pPr>
      <w:r w:rsidRPr="00FE718F">
        <w:rPr>
          <w:rFonts w:ascii="Arial" w:hAnsi="Arial" w:cs="Arial"/>
          <w:kern w:val="0"/>
          <w:sz w:val="24"/>
          <w:szCs w:val="24"/>
          <w:lang w:val="de-DE"/>
        </w:rPr>
        <w:t>The comparative analysis reveals a similarity in the slope of the mean annual precipitation (MAP) factor across both models. Additionally, it is noteworthy that forest cover continues to negatively influence the logarithmic count, while precipitation seasonality manifests a positive impact. Notably, in the individual effect models, these influences exhibit an increment of approximately 20% when contrasted with the comprehensive model encompassing all three predictor variables. Both models exhibit a dispersion parameter of</w:t>
      </w:r>
      <w:r w:rsidR="00B23543">
        <w:rPr>
          <w:rFonts w:ascii="Arial" w:hAnsi="Arial" w:cs="Arial"/>
          <w:kern w:val="0"/>
          <w:sz w:val="24"/>
          <w:szCs w:val="24"/>
          <w:lang w:val="de-DE"/>
        </w:rPr>
        <w:t xml:space="preserve"> over 0.75,</w:t>
      </w:r>
      <w:r w:rsidRPr="00FE718F">
        <w:rPr>
          <w:rFonts w:ascii="Arial" w:hAnsi="Arial" w:cs="Arial"/>
          <w:kern w:val="0"/>
          <w:sz w:val="24"/>
          <w:szCs w:val="24"/>
          <w:lang w:val="de-DE"/>
        </w:rPr>
        <w:t xml:space="preserve"> affirming the congruence of the negative binomial distribution model with the observed data.</w:t>
      </w:r>
    </w:p>
    <w:p w14:paraId="6E248C58" w14:textId="77777777" w:rsidR="00741953" w:rsidRPr="00FE718F" w:rsidRDefault="00741953" w:rsidP="00AA03DA">
      <w:pPr>
        <w:jc w:val="both"/>
        <w:rPr>
          <w:rFonts w:ascii="Arial" w:hAnsi="Arial" w:cs="Arial"/>
          <w:kern w:val="0"/>
          <w:sz w:val="24"/>
          <w:szCs w:val="24"/>
          <w:lang w:val="de-DE"/>
        </w:rPr>
      </w:pPr>
    </w:p>
    <w:p w14:paraId="6E42C66D" w14:textId="77777777" w:rsidR="00FE718F" w:rsidRPr="00FE718F" w:rsidRDefault="00FE718F" w:rsidP="00FE718F">
      <w:pPr>
        <w:keepNext/>
        <w:jc w:val="both"/>
        <w:rPr>
          <w:rFonts w:ascii="Arial" w:hAnsi="Arial" w:cs="Arial"/>
        </w:rPr>
      </w:pPr>
      <w:r w:rsidRPr="00FE718F">
        <w:rPr>
          <w:rFonts w:ascii="Arial" w:hAnsi="Arial" w:cs="Arial"/>
          <w:b/>
          <w:bCs/>
          <w:noProof/>
          <w:kern w:val="0"/>
          <w:sz w:val="24"/>
          <w:szCs w:val="24"/>
          <w:lang w:val="de-DE"/>
        </w:rPr>
        <w:lastRenderedPageBreak/>
        <w:drawing>
          <wp:inline distT="0" distB="0" distL="0" distR="0" wp14:anchorId="1F92636F" wp14:editId="64B03011">
            <wp:extent cx="5419533" cy="2190750"/>
            <wp:effectExtent l="0" t="0" r="0" b="0"/>
            <wp:docPr id="119188026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80265" name="Grafik 1191880265"/>
                    <pic:cNvPicPr/>
                  </pic:nvPicPr>
                  <pic:blipFill rotWithShape="1">
                    <a:blip r:embed="rId7" cstate="print">
                      <a:extLst>
                        <a:ext uri="{28A0092B-C50C-407E-A947-70E740481C1C}">
                          <a14:useLocalDpi xmlns:a14="http://schemas.microsoft.com/office/drawing/2010/main" val="0"/>
                        </a:ext>
                      </a:extLst>
                    </a:blip>
                    <a:srcRect l="5845" t="12293" b="11546"/>
                    <a:stretch/>
                  </pic:blipFill>
                  <pic:spPr bwMode="auto">
                    <a:xfrm>
                      <a:off x="0" y="0"/>
                      <a:ext cx="5419533" cy="2190750"/>
                    </a:xfrm>
                    <a:prstGeom prst="rect">
                      <a:avLst/>
                    </a:prstGeom>
                    <a:ln>
                      <a:noFill/>
                    </a:ln>
                    <a:extLst>
                      <a:ext uri="{53640926-AAD7-44D8-BBD7-CCE9431645EC}">
                        <a14:shadowObscured xmlns:a14="http://schemas.microsoft.com/office/drawing/2010/main"/>
                      </a:ext>
                    </a:extLst>
                  </pic:spPr>
                </pic:pic>
              </a:graphicData>
            </a:graphic>
          </wp:inline>
        </w:drawing>
      </w:r>
    </w:p>
    <w:p w14:paraId="0EF57BC9" w14:textId="699D25AD" w:rsidR="00FE718F" w:rsidRPr="00FE718F" w:rsidRDefault="00FE718F" w:rsidP="00FE718F">
      <w:pPr>
        <w:pStyle w:val="Beschriftung"/>
        <w:jc w:val="both"/>
        <w:rPr>
          <w:rFonts w:ascii="Arial" w:hAnsi="Arial" w:cs="Arial"/>
          <w:b/>
          <w:bCs/>
          <w:kern w:val="0"/>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Pr="00FE718F">
        <w:rPr>
          <w:rFonts w:ascii="Arial" w:hAnsi="Arial" w:cs="Arial"/>
          <w:noProof/>
        </w:rPr>
        <w:t>2</w:t>
      </w:r>
      <w:r w:rsidRPr="00FE718F">
        <w:rPr>
          <w:rFonts w:ascii="Arial" w:hAnsi="Arial" w:cs="Arial"/>
        </w:rPr>
        <w:fldChar w:fldCharType="end"/>
      </w:r>
      <w:r w:rsidRPr="00FE718F">
        <w:rPr>
          <w:rFonts w:ascii="Arial" w:hAnsi="Arial" w:cs="Arial"/>
        </w:rPr>
        <w:t>: Impact of Forest cover and mean annual precipitation on El. nigrita abundance</w:t>
      </w:r>
    </w:p>
    <w:p w14:paraId="42E3C306" w14:textId="0CF141E7" w:rsidR="00741953" w:rsidRDefault="00741953" w:rsidP="00FE718F">
      <w:pPr>
        <w:keepNext/>
        <w:jc w:val="both"/>
        <w:rPr>
          <w:rFonts w:ascii="Arial" w:hAnsi="Arial" w:cs="Arial"/>
          <w:sz w:val="24"/>
          <w:szCs w:val="24"/>
          <w:lang w:val="de-DE"/>
        </w:rPr>
      </w:pPr>
      <w:r w:rsidRPr="00741953">
        <w:rPr>
          <w:rFonts w:ascii="Arial" w:hAnsi="Arial" w:cs="Arial"/>
          <w:sz w:val="24"/>
          <w:szCs w:val="24"/>
          <w:lang w:val="de-DE"/>
        </w:rPr>
        <w:t>The graphical representation depicts a positive correlation between the abundance of bees and a diminishing forest cover. Furthermore, it is observed that a reduced rate of</w:t>
      </w:r>
      <w:r>
        <w:rPr>
          <w:rFonts w:ascii="Arial" w:hAnsi="Arial" w:cs="Arial"/>
          <w:sz w:val="24"/>
          <w:szCs w:val="24"/>
          <w:lang w:val="de-DE"/>
        </w:rPr>
        <w:t xml:space="preserve"> </w:t>
      </w:r>
      <w:r w:rsidRPr="00741953">
        <w:rPr>
          <w:rFonts w:ascii="Arial" w:hAnsi="Arial" w:cs="Arial"/>
          <w:sz w:val="24"/>
          <w:szCs w:val="24"/>
          <w:lang w:val="de-DE"/>
        </w:rPr>
        <w:t>rainfall</w:t>
      </w:r>
      <w:r>
        <w:rPr>
          <w:rFonts w:ascii="Arial" w:hAnsi="Arial" w:cs="Arial"/>
          <w:sz w:val="24"/>
          <w:szCs w:val="24"/>
          <w:lang w:val="de-DE"/>
        </w:rPr>
        <w:t xml:space="preserve"> </w:t>
      </w:r>
      <w:r w:rsidRPr="00741953">
        <w:rPr>
          <w:rFonts w:ascii="Arial" w:hAnsi="Arial" w:cs="Arial"/>
          <w:sz w:val="24"/>
          <w:szCs w:val="24"/>
          <w:lang w:val="de-DE"/>
        </w:rPr>
        <w:t xml:space="preserve">(MAP=Mean–SD) exerts a favorable influence on the observed abundance of </w:t>
      </w:r>
      <w:r>
        <w:rPr>
          <w:rFonts w:ascii="Arial" w:hAnsi="Arial" w:cs="Arial"/>
          <w:sz w:val="24"/>
          <w:szCs w:val="24"/>
          <w:lang w:val="de-DE"/>
        </w:rPr>
        <w:t>bees.</w:t>
      </w:r>
    </w:p>
    <w:p w14:paraId="4500BE48" w14:textId="77777777" w:rsidR="00741953" w:rsidRDefault="00741953" w:rsidP="00FE718F">
      <w:pPr>
        <w:keepNext/>
        <w:jc w:val="both"/>
        <w:rPr>
          <w:rFonts w:ascii="Arial" w:hAnsi="Arial" w:cs="Arial"/>
          <w:sz w:val="24"/>
          <w:szCs w:val="24"/>
          <w:lang w:val="de-DE"/>
        </w:rPr>
      </w:pPr>
    </w:p>
    <w:p w14:paraId="118CC95E" w14:textId="36BD9C6A" w:rsidR="00FE718F" w:rsidRPr="00FE718F" w:rsidRDefault="00741953" w:rsidP="00FE718F">
      <w:pPr>
        <w:keepNext/>
        <w:jc w:val="both"/>
        <w:rPr>
          <w:rFonts w:ascii="Arial" w:hAnsi="Arial" w:cs="Arial"/>
        </w:rPr>
      </w:pPr>
      <w:r w:rsidRPr="00FE718F">
        <w:rPr>
          <w:rFonts w:ascii="Arial" w:hAnsi="Arial" w:cs="Arial"/>
          <w:noProof/>
          <w:sz w:val="24"/>
          <w:szCs w:val="24"/>
          <w:lang w:val="de-DE"/>
        </w:rPr>
        <w:drawing>
          <wp:inline distT="0" distB="0" distL="0" distR="0" wp14:anchorId="65FBDEE2" wp14:editId="0AA27D6A">
            <wp:extent cx="5409968" cy="2190115"/>
            <wp:effectExtent l="0" t="0" r="0" b="635"/>
            <wp:docPr id="10536045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4589" name="Grafik 1053604589"/>
                    <pic:cNvPicPr/>
                  </pic:nvPicPr>
                  <pic:blipFill rotWithShape="1">
                    <a:blip r:embed="rId8" cstate="print">
                      <a:extLst>
                        <a:ext uri="{28A0092B-C50C-407E-A947-70E740481C1C}">
                          <a14:useLocalDpi xmlns:a14="http://schemas.microsoft.com/office/drawing/2010/main" val="0"/>
                        </a:ext>
                      </a:extLst>
                    </a:blip>
                    <a:srcRect l="5996" t="11996" b="11853"/>
                    <a:stretch/>
                  </pic:blipFill>
                  <pic:spPr bwMode="auto">
                    <a:xfrm>
                      <a:off x="0" y="0"/>
                      <a:ext cx="5409968" cy="2190115"/>
                    </a:xfrm>
                    <a:prstGeom prst="rect">
                      <a:avLst/>
                    </a:prstGeom>
                    <a:ln>
                      <a:noFill/>
                    </a:ln>
                    <a:extLst>
                      <a:ext uri="{53640926-AAD7-44D8-BBD7-CCE9431645EC}">
                        <a14:shadowObscured xmlns:a14="http://schemas.microsoft.com/office/drawing/2010/main"/>
                      </a:ext>
                    </a:extLst>
                  </pic:spPr>
                </pic:pic>
              </a:graphicData>
            </a:graphic>
          </wp:inline>
        </w:drawing>
      </w:r>
    </w:p>
    <w:p w14:paraId="13789327" w14:textId="34B670DC" w:rsidR="00FE718F" w:rsidRPr="00FE718F" w:rsidRDefault="00FE718F" w:rsidP="00FE718F">
      <w:pPr>
        <w:pStyle w:val="Beschriftung"/>
        <w:jc w:val="both"/>
        <w:rPr>
          <w:rFonts w:ascii="Arial" w:hAnsi="Arial" w:cs="Arial"/>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Pr="00FE718F">
        <w:rPr>
          <w:rFonts w:ascii="Arial" w:hAnsi="Arial" w:cs="Arial"/>
          <w:noProof/>
        </w:rPr>
        <w:t>3</w:t>
      </w:r>
      <w:r w:rsidRPr="00FE718F">
        <w:rPr>
          <w:rFonts w:ascii="Arial" w:hAnsi="Arial" w:cs="Arial"/>
        </w:rPr>
        <w:fldChar w:fldCharType="end"/>
      </w:r>
      <w:r w:rsidRPr="00FE718F">
        <w:rPr>
          <w:rFonts w:ascii="Arial" w:hAnsi="Arial" w:cs="Arial"/>
        </w:rPr>
        <w:t>: Impact of precipitation seasonality and mean annual precipitation on El. nigrita abundance</w:t>
      </w:r>
    </w:p>
    <w:p w14:paraId="3F7483D7" w14:textId="5FDABD56" w:rsidR="00FE718F" w:rsidRPr="00FE718F" w:rsidRDefault="00741953" w:rsidP="00AA03DA">
      <w:pPr>
        <w:jc w:val="both"/>
        <w:rPr>
          <w:rFonts w:ascii="Arial" w:hAnsi="Arial" w:cs="Arial"/>
          <w:b/>
          <w:bCs/>
          <w:sz w:val="24"/>
          <w:szCs w:val="24"/>
          <w:lang w:val="de-DE"/>
        </w:rPr>
      </w:pPr>
      <w:r w:rsidRPr="00741953">
        <w:rPr>
          <w:rFonts w:ascii="Arial" w:hAnsi="Arial" w:cs="Arial"/>
          <w:sz w:val="24"/>
          <w:szCs w:val="24"/>
          <w:lang w:val="de-DE"/>
        </w:rPr>
        <w:t xml:space="preserve">The graphical presentation reveals a similar </w:t>
      </w:r>
      <w:r>
        <w:rPr>
          <w:rFonts w:ascii="Arial" w:hAnsi="Arial" w:cs="Arial"/>
          <w:sz w:val="24"/>
          <w:szCs w:val="24"/>
          <w:lang w:val="de-DE"/>
        </w:rPr>
        <w:t>Mean Annual Precipitation (MAP) impact</w:t>
      </w:r>
      <w:r w:rsidRPr="00741953">
        <w:rPr>
          <w:rFonts w:ascii="Arial" w:hAnsi="Arial" w:cs="Arial"/>
          <w:sz w:val="24"/>
          <w:szCs w:val="24"/>
          <w:lang w:val="de-DE"/>
        </w:rPr>
        <w:t xml:space="preserve">. However, notable distinctions arise as the effect of precipitation seasonality surpasses that of forest cover. Additionally, it is noteworthy that the </w:t>
      </w:r>
      <w:r>
        <w:rPr>
          <w:rFonts w:ascii="Arial" w:hAnsi="Arial" w:cs="Arial"/>
          <w:sz w:val="24"/>
          <w:szCs w:val="24"/>
          <w:lang w:val="de-DE"/>
        </w:rPr>
        <w:t>positive effect indicates</w:t>
      </w:r>
      <w:r w:rsidRPr="00741953">
        <w:rPr>
          <w:rFonts w:ascii="Arial" w:hAnsi="Arial" w:cs="Arial"/>
          <w:sz w:val="24"/>
          <w:szCs w:val="24"/>
          <w:lang w:val="de-DE"/>
        </w:rPr>
        <w:t xml:space="preserve"> that heightened precipitation seasonality corresponds to an increased abundance of bees.</w:t>
      </w:r>
    </w:p>
    <w:p w14:paraId="6A2CE02F" w14:textId="5DE1EE01" w:rsidR="00AA03DA" w:rsidRDefault="00123D18" w:rsidP="00AA03DA">
      <w:pPr>
        <w:jc w:val="both"/>
        <w:rPr>
          <w:rFonts w:ascii="Arial" w:hAnsi="Arial" w:cs="Arial"/>
          <w:b/>
          <w:bCs/>
          <w:sz w:val="24"/>
          <w:szCs w:val="24"/>
          <w:lang w:val="de-DE"/>
        </w:rPr>
      </w:pPr>
      <w:r w:rsidRPr="00FE718F">
        <w:rPr>
          <w:rFonts w:ascii="Arial" w:hAnsi="Arial" w:cs="Arial"/>
          <w:b/>
          <w:bCs/>
          <w:sz w:val="24"/>
          <w:szCs w:val="24"/>
          <w:lang w:val="de-DE"/>
        </w:rPr>
        <w:t>Conclusion:</w:t>
      </w:r>
    </w:p>
    <w:p w14:paraId="73CDEA8E" w14:textId="30B599B4" w:rsidR="00741953" w:rsidRDefault="00741953" w:rsidP="00741953">
      <w:pPr>
        <w:jc w:val="both"/>
        <w:rPr>
          <w:rFonts w:ascii="Arial" w:hAnsi="Arial" w:cs="Arial"/>
          <w:sz w:val="24"/>
          <w:szCs w:val="24"/>
          <w:lang w:val="de-DE"/>
        </w:rPr>
      </w:pPr>
      <w:r w:rsidRPr="00741953">
        <w:rPr>
          <w:rFonts w:ascii="Arial" w:hAnsi="Arial" w:cs="Arial"/>
          <w:sz w:val="24"/>
          <w:szCs w:val="24"/>
          <w:lang w:val="de-DE"/>
        </w:rPr>
        <w:t xml:space="preserve">Our investigation </w:t>
      </w:r>
      <w:r>
        <w:rPr>
          <w:rFonts w:ascii="Arial" w:hAnsi="Arial" w:cs="Arial"/>
          <w:sz w:val="24"/>
          <w:szCs w:val="24"/>
          <w:lang w:val="de-DE"/>
        </w:rPr>
        <w:t>shows how precipitation factors and forest cover influence</w:t>
      </w:r>
      <w:r w:rsidRPr="00741953">
        <w:rPr>
          <w:rFonts w:ascii="Arial" w:hAnsi="Arial" w:cs="Arial"/>
          <w:sz w:val="24"/>
          <w:szCs w:val="24"/>
          <w:lang w:val="de-DE"/>
        </w:rPr>
        <w:t xml:space="preserve"> bee abundance. The analysis unveiled a negative impact of forest cover and mean annual precipitation (MAP) on the abundance of bees. Specifically, an elevated proportion of forest cover and increased mean annual precipitation exhibited an inverse correlation with bee sightings. </w:t>
      </w:r>
      <w:r>
        <w:rPr>
          <w:rFonts w:ascii="Arial" w:hAnsi="Arial" w:cs="Arial"/>
          <w:sz w:val="24"/>
          <w:szCs w:val="24"/>
          <w:lang w:val="de-DE"/>
        </w:rPr>
        <w:t>A</w:t>
      </w:r>
      <w:r w:rsidRPr="00741953">
        <w:rPr>
          <w:rFonts w:ascii="Arial" w:hAnsi="Arial" w:cs="Arial"/>
          <w:sz w:val="24"/>
          <w:szCs w:val="24"/>
          <w:lang w:val="de-DE"/>
        </w:rPr>
        <w:t xml:space="preserve"> plausible conclusion</w:t>
      </w:r>
      <w:r>
        <w:rPr>
          <w:rFonts w:ascii="Arial" w:hAnsi="Arial" w:cs="Arial"/>
          <w:sz w:val="24"/>
          <w:szCs w:val="24"/>
          <w:lang w:val="de-DE"/>
        </w:rPr>
        <w:t xml:space="preserve"> suggests that heightened precipitation levels may </w:t>
      </w:r>
      <w:r>
        <w:rPr>
          <w:rFonts w:ascii="Arial" w:hAnsi="Arial" w:cs="Arial"/>
          <w:sz w:val="24"/>
          <w:szCs w:val="24"/>
          <w:lang w:val="de-DE"/>
        </w:rPr>
        <w:lastRenderedPageBreak/>
        <w:t>impede bee flight, as rain conditions</w:t>
      </w:r>
      <w:r w:rsidRPr="00741953">
        <w:rPr>
          <w:rFonts w:ascii="Arial" w:hAnsi="Arial" w:cs="Arial"/>
          <w:sz w:val="24"/>
          <w:szCs w:val="24"/>
          <w:lang w:val="de-DE"/>
        </w:rPr>
        <w:t xml:space="preserve"> </w:t>
      </w:r>
      <w:r w:rsidR="00B23543">
        <w:rPr>
          <w:rFonts w:ascii="Arial" w:hAnsi="Arial" w:cs="Arial"/>
          <w:sz w:val="24"/>
          <w:szCs w:val="24"/>
          <w:lang w:val="de-DE"/>
        </w:rPr>
        <w:t>challenge</w:t>
      </w:r>
      <w:r w:rsidRPr="00741953">
        <w:rPr>
          <w:rFonts w:ascii="Arial" w:hAnsi="Arial" w:cs="Arial"/>
          <w:sz w:val="24"/>
          <w:szCs w:val="24"/>
          <w:lang w:val="de-DE"/>
        </w:rPr>
        <w:t xml:space="preserve"> their aerial activities. Furthermore, the preference for lower forest cover implies that typical forest tree environments are less conducive for bees.</w:t>
      </w:r>
    </w:p>
    <w:p w14:paraId="27C5870D" w14:textId="6B07952C" w:rsidR="00741953" w:rsidRPr="00741953" w:rsidRDefault="00741953" w:rsidP="00741953">
      <w:pPr>
        <w:jc w:val="both"/>
        <w:rPr>
          <w:rFonts w:ascii="Arial" w:hAnsi="Arial" w:cs="Arial"/>
          <w:sz w:val="24"/>
          <w:szCs w:val="24"/>
          <w:lang w:val="de-DE"/>
        </w:rPr>
      </w:pPr>
      <w:r w:rsidRPr="00741953">
        <w:rPr>
          <w:rFonts w:ascii="Arial" w:hAnsi="Arial" w:cs="Arial"/>
          <w:sz w:val="24"/>
          <w:szCs w:val="24"/>
          <w:lang w:val="de-DE"/>
        </w:rPr>
        <w:t xml:space="preserve">In contrast, a positive impact was discerned in precipitation seasonality, where a </w:t>
      </w:r>
      <w:r>
        <w:rPr>
          <w:rFonts w:ascii="Arial" w:hAnsi="Arial" w:cs="Arial"/>
          <w:sz w:val="24"/>
          <w:szCs w:val="24"/>
          <w:lang w:val="de-DE"/>
        </w:rPr>
        <w:t>higher</w:t>
      </w:r>
      <w:r w:rsidRPr="00741953">
        <w:rPr>
          <w:rFonts w:ascii="Arial" w:hAnsi="Arial" w:cs="Arial"/>
          <w:sz w:val="24"/>
          <w:szCs w:val="24"/>
          <w:lang w:val="de-DE"/>
        </w:rPr>
        <w:t xml:space="preserve"> seasonality around the average rainfall rate positively influenced bee sightings. </w:t>
      </w:r>
      <w:r>
        <w:rPr>
          <w:rFonts w:ascii="Arial" w:hAnsi="Arial" w:cs="Arial"/>
          <w:sz w:val="24"/>
          <w:szCs w:val="24"/>
          <w:lang w:val="de-DE"/>
        </w:rPr>
        <w:t>We</w:t>
      </w:r>
      <w:r w:rsidRPr="00741953">
        <w:rPr>
          <w:rFonts w:ascii="Arial" w:hAnsi="Arial" w:cs="Arial"/>
          <w:sz w:val="24"/>
          <w:szCs w:val="24"/>
          <w:lang w:val="de-DE"/>
        </w:rPr>
        <w:t xml:space="preserve"> suggest that during months with significantly reduced rainfall, bees tend to engage in more frequent flight activities. The intricate relationships identified in this study contribute to a nuanced understanding of how precipitation factors and land cover jointly shape the abundance patterns of bee populations.</w:t>
      </w:r>
    </w:p>
    <w:sectPr w:rsidR="00741953" w:rsidRPr="00741953">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01D14" w14:textId="77777777" w:rsidR="00CD02F0" w:rsidRDefault="00CD02F0" w:rsidP="00123D18">
      <w:pPr>
        <w:spacing w:after="0" w:line="240" w:lineRule="auto"/>
      </w:pPr>
      <w:r>
        <w:separator/>
      </w:r>
    </w:p>
  </w:endnote>
  <w:endnote w:type="continuationSeparator" w:id="0">
    <w:p w14:paraId="3B1DDBF3" w14:textId="77777777" w:rsidR="00CD02F0" w:rsidRDefault="00CD02F0" w:rsidP="0012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E012" w14:textId="77777777" w:rsidR="00123D18" w:rsidRDefault="00123D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15064"/>
      <w:docPartObj>
        <w:docPartGallery w:val="Page Numbers (Bottom of Page)"/>
        <w:docPartUnique/>
      </w:docPartObj>
    </w:sdtPr>
    <w:sdtContent>
      <w:p w14:paraId="24E3D75E" w14:textId="035D3F6A" w:rsidR="00123D18" w:rsidRDefault="00123D18">
        <w:pPr>
          <w:pStyle w:val="Fuzeile"/>
          <w:jc w:val="right"/>
        </w:pPr>
        <w:r>
          <w:fldChar w:fldCharType="begin"/>
        </w:r>
        <w:r>
          <w:instrText>PAGE   \* MERGEFORMAT</w:instrText>
        </w:r>
        <w:r>
          <w:fldChar w:fldCharType="separate"/>
        </w:r>
        <w:r>
          <w:rPr>
            <w:lang w:val="de-DE"/>
          </w:rPr>
          <w:t>2</w:t>
        </w:r>
        <w:r>
          <w:fldChar w:fldCharType="end"/>
        </w:r>
      </w:p>
    </w:sdtContent>
  </w:sdt>
  <w:p w14:paraId="42FB5D52" w14:textId="77777777" w:rsidR="00123D18" w:rsidRDefault="00123D1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B7CC" w14:textId="77777777" w:rsidR="00123D18" w:rsidRDefault="00123D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330EF" w14:textId="77777777" w:rsidR="00CD02F0" w:rsidRDefault="00CD02F0" w:rsidP="00123D18">
      <w:pPr>
        <w:spacing w:after="0" w:line="240" w:lineRule="auto"/>
      </w:pPr>
      <w:r>
        <w:separator/>
      </w:r>
    </w:p>
  </w:footnote>
  <w:footnote w:type="continuationSeparator" w:id="0">
    <w:p w14:paraId="7B7C6EDE" w14:textId="77777777" w:rsidR="00CD02F0" w:rsidRDefault="00CD02F0" w:rsidP="00123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286C" w14:textId="77777777" w:rsidR="00123D18" w:rsidRDefault="00123D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F30C" w14:textId="77777777" w:rsidR="00123D18" w:rsidRDefault="00123D1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7525" w14:textId="77777777" w:rsidR="00123D18" w:rsidRDefault="00123D1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tDS3MDAwMjSzsDBT0lEKTi0uzszPAykwrwUAhQo4CywAAAA="/>
  </w:docVars>
  <w:rsids>
    <w:rsidRoot w:val="00333658"/>
    <w:rsid w:val="000B3CE4"/>
    <w:rsid w:val="000F3FA5"/>
    <w:rsid w:val="00123D18"/>
    <w:rsid w:val="00166CEE"/>
    <w:rsid w:val="00191B8F"/>
    <w:rsid w:val="0024058B"/>
    <w:rsid w:val="002B0C38"/>
    <w:rsid w:val="00333658"/>
    <w:rsid w:val="00415205"/>
    <w:rsid w:val="00420DB7"/>
    <w:rsid w:val="005C47EE"/>
    <w:rsid w:val="00741953"/>
    <w:rsid w:val="00936AD5"/>
    <w:rsid w:val="0095400F"/>
    <w:rsid w:val="009A714D"/>
    <w:rsid w:val="00A12D35"/>
    <w:rsid w:val="00A16EAB"/>
    <w:rsid w:val="00AA03DA"/>
    <w:rsid w:val="00AD0B89"/>
    <w:rsid w:val="00B000DB"/>
    <w:rsid w:val="00B23543"/>
    <w:rsid w:val="00BC211A"/>
    <w:rsid w:val="00CD02F0"/>
    <w:rsid w:val="00CF1D76"/>
    <w:rsid w:val="00D30F68"/>
    <w:rsid w:val="00D809CA"/>
    <w:rsid w:val="00E66996"/>
    <w:rsid w:val="00EB7237"/>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4A0F"/>
  <w15:chartTrackingRefBased/>
  <w15:docId w15:val="{29E2CEB9-3E30-4FC9-8852-8B97DDA6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6C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33658"/>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123D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23D18"/>
  </w:style>
  <w:style w:type="paragraph" w:styleId="Fuzeile">
    <w:name w:val="footer"/>
    <w:basedOn w:val="Standard"/>
    <w:link w:val="FuzeileZchn"/>
    <w:uiPriority w:val="99"/>
    <w:unhideWhenUsed/>
    <w:rsid w:val="00123D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23D18"/>
  </w:style>
  <w:style w:type="table" w:styleId="Tabellenraster">
    <w:name w:val="Table Grid"/>
    <w:basedOn w:val="NormaleTabelle"/>
    <w:uiPriority w:val="39"/>
    <w:rsid w:val="0093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3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cientifictable">
    <w:name w:val="scientific table"/>
    <w:basedOn w:val="NormaleTabelle"/>
    <w:uiPriority w:val="99"/>
    <w:rsid w:val="00936AD5"/>
    <w:pPr>
      <w:spacing w:after="0" w:line="240" w:lineRule="auto"/>
    </w:pPr>
    <w:tblPr/>
    <w:tblStylePr w:type="firstRow">
      <w:pPr>
        <w:jc w:val="left"/>
      </w:pPr>
      <w:tblPr/>
      <w:tcPr>
        <w:tcBorders>
          <w:top w:val="double" w:sz="4" w:space="0" w:color="000000" w:themeColor="text1"/>
          <w:left w:val="nil"/>
          <w:bottom w:val="double" w:sz="4" w:space="0" w:color="000000" w:themeColor="text1"/>
          <w:right w:val="nil"/>
          <w:insideH w:val="nil"/>
          <w:insideV w:val="nil"/>
        </w:tcBorders>
      </w:tcPr>
    </w:tblStylePr>
    <w:tblStylePr w:type="lastRow">
      <w:tblPr/>
      <w:tcPr>
        <w:tcBorders>
          <w:bottom w:val="double" w:sz="4" w:space="0" w:color="000000" w:themeColor="text1"/>
        </w:tcBorders>
      </w:tcPr>
    </w:tblStylePr>
    <w:tblStylePr w:type="lastCo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12985">
      <w:bodyDiv w:val="1"/>
      <w:marLeft w:val="0"/>
      <w:marRight w:val="0"/>
      <w:marTop w:val="0"/>
      <w:marBottom w:val="0"/>
      <w:divBdr>
        <w:top w:val="none" w:sz="0" w:space="0" w:color="auto"/>
        <w:left w:val="none" w:sz="0" w:space="0" w:color="auto"/>
        <w:bottom w:val="none" w:sz="0" w:space="0" w:color="auto"/>
        <w:right w:val="none" w:sz="0" w:space="0" w:color="auto"/>
      </w:divBdr>
    </w:div>
    <w:div w:id="1864705167">
      <w:bodyDiv w:val="1"/>
      <w:marLeft w:val="0"/>
      <w:marRight w:val="0"/>
      <w:marTop w:val="0"/>
      <w:marBottom w:val="0"/>
      <w:divBdr>
        <w:top w:val="none" w:sz="0" w:space="0" w:color="auto"/>
        <w:left w:val="none" w:sz="0" w:space="0" w:color="auto"/>
        <w:bottom w:val="none" w:sz="0" w:space="0" w:color="auto"/>
        <w:right w:val="none" w:sz="0" w:space="0" w:color="auto"/>
      </w:divBdr>
    </w:div>
    <w:div w:id="21236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1112</Words>
  <Characters>7006</Characters>
  <Application>Microsoft Office Word</Application>
  <DocSecurity>0</DocSecurity>
  <Lines>58</Lines>
  <Paragraphs>16</Paragraphs>
  <ScaleCrop>false</ScaleCrop>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Steindorff</dc:creator>
  <cp:keywords/>
  <dc:description/>
  <cp:lastModifiedBy>Jaro Steindorff</cp:lastModifiedBy>
  <cp:revision>10</cp:revision>
  <dcterms:created xsi:type="dcterms:W3CDTF">2023-11-20T10:26:00Z</dcterms:created>
  <dcterms:modified xsi:type="dcterms:W3CDTF">2023-11-22T08:31:00Z</dcterms:modified>
</cp:coreProperties>
</file>