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b w:val="1"/>
          <w:bCs w:val="1"/>
          <w:color w:val="2e5a88"/>
          <w:sz w:val="60"/>
          <w:szCs w:val="60"/>
          <w:rtl w:val="0"/>
        </w:rPr>
        <w:t xml:space="preserve">AgeCare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4"/>
          <w:szCs w:val="24"/>
          <w:rtl w:val="0"/>
        </w:rPr>
        <w:t xml:space="preserve">Plataforma digital integral de cuidado de adultos mayores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AgeCare — Modelo de Datos Definitivo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color w:val="595959"/>
          <w:sz w:val="24"/>
          <w:szCs w:val="24"/>
          <w:rtl w:val="0"/>
        </w:rPr>
        <w:t xml:space="preserve">Avance Fase 2 · Diseño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· Capstone PTY4614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Duoc UC · Escuela de Informática y Telecomunicaciones · Sede San Andrés de Concepción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Empresa contraparte: Alloxentric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Equipo: Javier Cerna Chávez · Benjamín Camus · Juan Mora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Docentes: Jazna Meza Hidalgo · Juan Pablo Mellado Alarcón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2e5a88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146167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AgeCare — Modelo de Datos Definitivo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Bloques del modelo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Diagrama de relaciones (texto)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Tablas y su correspondencia con el ERS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1 — Identidad y acceso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2 — Vitals y wearable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3 — Medicación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4 — Alertas y emergencias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Bloque 5 — Negocio (freemium)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Estado de normalización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Correcciones aplicadas (hasta 2FN)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Excepciones documentadas (decisión de diseño, no error)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sdt>
              <w:sdtPr>
                <w:id w:val="-187531713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  <w:rtl w:val="0"/>
                  </w:rPr>
                  <w:t xml:space="preserve">6. Matriz de cobertura — Modelo ↔ Requisitos del ERS (transparencia)</w:t>
                  <w:tab/>
                  <w:t xml:space="preserve">8</w:t>
                </w:r>
              </w:sdtContent>
            </w:sdt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de cobertura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Orden de carga de scripts (dependencias de FK)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AgeCare — Modelo de Datos Definitivo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APT · Capstone PTY4614 · DUOC UC — Sede San Andrés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Javier Cerna Chávez · Benjamín Camus · Juan Mora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Metodología:</w:t>
      </w:r>
      <w:r w:rsidDel="00000000" w:rsidR="00000000" w:rsidRPr="00000000">
        <w:rPr>
          <w:rtl w:val="0"/>
        </w:rPr>
        <w:t xml:space="preserve"> Enfoque Tradicional (Cascada) · </w:t>
      </w:r>
      <w:r w:rsidDel="00000000" w:rsidR="00000000" w:rsidRPr="00000000">
        <w:rPr>
          <w:b w:val="1"/>
          <w:bCs w:val="1"/>
          <w:rtl w:val="0"/>
        </w:rPr>
        <w:t xml:space="preserve">Entrega:</w:t>
      </w:r>
      <w:r w:rsidDel="00000000" w:rsidR="00000000" w:rsidRPr="00000000">
        <w:rPr>
          <w:rtl w:val="0"/>
        </w:rPr>
        <w:t xml:space="preserve"> 04 de octubre (avance Fase 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Motor:</w:t>
      </w:r>
      <w:r w:rsidDel="00000000" w:rsidR="00000000" w:rsidRPr="00000000">
        <w:rPr>
          <w:rtl w:val="0"/>
        </w:rPr>
        <w:t xml:space="preserve"> PostgreSQL 16 · Modelo relacional normalizado hasta 2FN (excepciones técnicas documentadas)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Scripts fuente: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sql/001_base.sql</w:t>
      </w:r>
      <w:r w:rsidDel="00000000" w:rsidR="00000000" w:rsidRPr="00000000">
        <w:rPr>
          <w:rtl w:val="0"/>
        </w:rPr>
        <w:t xml:space="preserve"> …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sql/501_subscriptions.sql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sql/900_seed_dev.sql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 consolidado: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sql/schema/000_schema_completo.sql</w:t>
      </w:r>
      <w:r w:rsidDel="00000000" w:rsidR="00000000" w:rsidRPr="00000000">
        <w:rPr>
          <w:rtl w:val="0"/>
        </w:rPr>
        <w:t xml:space="preserve"> (todo el esquema en un solo archivo ejecutable)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Diagramas 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docs/ER_AgeCare.dbml</w:t>
      </w:r>
      <w:r w:rsidDel="00000000" w:rsidR="00000000" w:rsidRPr="00000000">
        <w:rPr>
          <w:rtl w:val="0"/>
        </w:rPr>
        <w:t xml:space="preserve"> (dbdiagram.io → PNG/PDF) ·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docs/ER_AgeCare_Mermaid.md</w:t>
      </w:r>
      <w:r w:rsidDel="00000000" w:rsidR="00000000" w:rsidRPr="00000000">
        <w:rPr>
          <w:rtl w:val="0"/>
        </w:rPr>
        <w:t xml:space="preserve"> (se renderiza en GitHub)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Análisis de realidad: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docs/04_Analisis_de_Realidad_y_Decisiones.md</w:t>
      </w:r>
      <w:r w:rsidDel="00000000" w:rsidR="00000000" w:rsidRPr="00000000">
        <w:rPr>
          <w:rtl w:val="0"/>
        </w:rPr>
        <w:t xml:space="preserve"> (escenarios del mundo real y decisiones de diseño)</w:t>
      </w:r>
    </w:p>
    <w:p w:rsidR="00000000" w:rsidDel="00000000" w:rsidP="00000000" w:rsidRDefault="00000000" w:rsidRPr="00000000" w14:paraId="00000032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Este documento presenta el </w:t>
      </w:r>
      <w:r w:rsidDel="00000000" w:rsidR="00000000" w:rsidRPr="00000000">
        <w:rPr>
          <w:b w:val="1"/>
          <w:bCs w:val="1"/>
          <w:rtl w:val="0"/>
        </w:rPr>
        <w:t xml:space="preserve">modelo de datos definitivo</w:t>
      </w:r>
      <w:r w:rsidDel="00000000" w:rsidR="00000000" w:rsidRPr="00000000">
        <w:rPr>
          <w:rtl w:val="0"/>
        </w:rPr>
        <w:t xml:space="preserve"> del núcleo de salud de AgeCare, como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evidencia del avance de Fase 2 comprometido para el 04 de octubre. El modelo da soporte físico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 los requisitos del ERS correspondientes a autenticación, pacientes y círculo de cuidado,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signos vitales, medicamentos y adherencia, y alertas/emergencias (**RF-01 a RF-33 y RF-44 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RF-52**), junto con los requisitos no funcionales de rendimiento, escalabilidad, seguridad 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mantenibilidad asociados.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El diseño es íntegramente </w:t>
      </w:r>
      <w:r w:rsidDel="00000000" w:rsidR="00000000" w:rsidRPr="00000000">
        <w:rPr>
          <w:b w:val="1"/>
          <w:bCs w:val="1"/>
          <w:rtl w:val="0"/>
        </w:rPr>
        <w:t xml:space="preserve">relacional en PostgreSQL</w:t>
      </w:r>
      <w:r w:rsidDel="00000000" w:rsidR="00000000" w:rsidRPr="00000000">
        <w:rPr>
          <w:rtl w:val="0"/>
        </w:rPr>
        <w:t xml:space="preserve"> (no existe persistencia documental ni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NoSQL): los pocos campos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jsonb</w:t>
      </w:r>
      <w:r w:rsidDel="00000000" w:rsidR="00000000" w:rsidRPr="00000000">
        <w:rPr>
          <w:rtl w:val="0"/>
        </w:rPr>
        <w:t xml:space="preserve"> que persisten corresponden a atributos variables documentados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como excepción. El equipo construyó las 24 tablas en este repositorio como consultores/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desarrolladores sobre la especificación de Alloxentric.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las tablas del núcleo se suman cuatro tablas transversales derivadas del **análisis de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realidad** (ver documento 04):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 (trazabilidad clínica inmutable),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system_parameters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(umbrales de negocio configurables),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wellbeing_snapshots</w:t>
      </w:r>
      <w:r w:rsidDel="00000000" w:rsidR="00000000" w:rsidRPr="00000000">
        <w:rPr>
          <w:rtl w:val="0"/>
        </w:rPr>
        <w:t xml:space="preserve"> (historial del semáforo) 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 (modelo freemium).</w:t>
      </w:r>
    </w:p>
    <w:p w:rsidR="00000000" w:rsidDel="00000000" w:rsidP="00000000" w:rsidRDefault="00000000" w:rsidRPr="00000000" w14:paraId="00000042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2. Bloques del modelo</w:t>
      </w:r>
    </w:p>
    <w:tbl>
      <w:tblPr>
        <w:tblStyle w:val="Table1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 que soporta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· Identidad y acceso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refresh_tokens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push_devices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patient_conditions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patient_members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invitations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system_parameters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RF-01…16, RNF-14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· Vitals y wearable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vital_types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wearables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vital_thresholds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wellbeing_snapshots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RF-15…23, RF-44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· Medicación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medication_times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medication_days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RF-24…33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· Alertas y emergencias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alert_deliveries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notification_settings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emergency_contacts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sos_events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RF-44…52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 · Negocio (freemium)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RF-73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Total: 24 tablas</w:t>
      </w:r>
      <w:r w:rsidDel="00000000" w:rsidR="00000000" w:rsidRPr="00000000">
        <w:rPr>
          <w:rtl w:val="0"/>
        </w:rPr>
        <w:t xml:space="preserve"> + función compartida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set_updated_at()</w:t>
      </w:r>
      <w:r w:rsidDel="00000000" w:rsidR="00000000" w:rsidRPr="00000000">
        <w:rPr>
          <w:rtl w:val="0"/>
        </w:rPr>
        <w:t xml:space="preserve"> + función de particionado + trigger de inmutabilidad de auditoría.</w:t>
      </w:r>
    </w:p>
    <w:p w:rsidR="00000000" w:rsidDel="00000000" w:rsidP="00000000" w:rsidRDefault="00000000" w:rsidRPr="00000000" w14:paraId="00000058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3. Diagrama de relaciones (texto)</w:t>
      </w:r>
    </w:p>
    <w:p w:rsidR="00000000" w:rsidDel="00000000" w:rsidP="00000000" w:rsidRDefault="00000000" w:rsidRPr="00000000" w14:paraId="0000005A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users ──1:N── refresh_tokens</w:t>
        <w:br w:type="textWrapping"/>
        <w:t xml:space="preserve">  │   ├─1:N── push_devices</w:t>
        <w:br w:type="textWrapping"/>
        <w:t xml:space="preserve">  │   ├─1:N── patient_members ──N:1── patients</w:t>
        <w:br w:type="textWrapping"/>
        <w:t xml:space="preserve">  │   ├─1:N── notification_settings</w:t>
        <w:br w:type="textWrapping"/>
        <w:t xml:space="preserve">  │   └─ (invited_by / accepted_by) ── invitations</w:t>
        <w:br w:type="textWrapping"/>
        <w:br w:type="textWrapping"/>
        <w:t xml:space="preserve">patients ──1:N── patient_conditions</w:t>
        <w:br w:type="textWrapping"/>
        <w:t xml:space="preserve">  │   ├─1:N── patient_members          (centro del control de acceso, RNF-12)</w:t>
        <w:br w:type="textWrapping"/>
        <w:t xml:space="preserve">  │   ├─1:N── invitations</w:t>
        <w:br w:type="textWrapping"/>
        <w:t xml:space="preserve">  │   ├─1:N── wearables</w:t>
        <w:br w:type="textWrapping"/>
        <w:t xml:space="preserve">  │   ├─1:N── vital_readings ──N:1── vital_types</w:t>
        <w:br w:type="textWrapping"/>
        <w:t xml:space="preserve">  │   ├─1:N── vital_thresholds ──N:1── vital_types</w:t>
        <w:br w:type="textWrapping"/>
        <w:t xml:space="preserve">  │   ├─1:N── medications ──1:N── medication_times</w:t>
        <w:br w:type="textWrapping"/>
        <w:t xml:space="preserve">  │   │                     └─1:N── medication_days</w:t>
        <w:br w:type="textWrapping"/>
        <w:t xml:space="preserve">  │   ├─1:N── alerts</w:t>
        <w:br w:type="textWrapping"/>
        <w:t xml:space="preserve">  │   ├─1:N── emergency_contacts</w:t>
        <w:br w:type="textWrapping"/>
        <w:t xml:space="preserve">  │   └─1:N── sos_events</w:t>
        <w:br w:type="textWrapping"/>
        <w:br w:type="textWrapping"/>
        <w:t xml:space="preserve">medications ──1:N── scheduled_doses ──(logged_by)── users</w:t>
        <w:br w:type="textWrapping"/>
        <w:t xml:space="preserve">alerts ──1:N── alert_deliveries ──N:1── users / push_devices</w:t>
        <w:br w:type="textWrapping"/>
        <w:t xml:space="preserve">alerts ──1:1── sos_events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transversal (RNF-12):</w:t>
      </w:r>
      <w:r w:rsidDel="00000000" w:rsidR="00000000" w:rsidRPr="00000000">
        <w:rPr>
          <w:rtl w:val="0"/>
        </w:rPr>
        <w:t xml:space="preserve"> toda consulta al expediente se valida contra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patient_members</w:t>
      </w:r>
      <w:r w:rsidDel="00000000" w:rsidR="00000000" w:rsidRPr="00000000">
        <w:rPr>
          <w:rtl w:val="0"/>
        </w:rPr>
        <w:t xml:space="preserve"> (membresía vigente + rol). Ocultar la opción en la interfaz no se considera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05E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4. Tablas y su correspondencia con el ERS</w:t>
      </w:r>
    </w:p>
    <w:p w:rsidR="00000000" w:rsidDel="00000000" w:rsidP="00000000" w:rsidRDefault="00000000" w:rsidRPr="00000000" w14:paraId="00000060">
      <w:pPr>
        <w:pStyle w:val="Heading3"/>
        <w:rPr/>
      </w:pPr>
      <w:r w:rsidDel="00000000" w:rsidR="00000000" w:rsidRPr="00000000">
        <w:rPr>
          <w:rtl w:val="0"/>
        </w:rPr>
        <w:t xml:space="preserve">Bloque 1 — Identidad y acceso</w:t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Cuentas.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 GENERATED.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  <w:t xml:space="preserve"> (RNF-10). Soft delete.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RF-01, RF-06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refresh_tokens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Sesiones; hash del token,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family_id</w:t>
            </w:r>
            <w:r w:rsidDel="00000000" w:rsidR="00000000" w:rsidRPr="00000000">
              <w:rPr>
                <w:rtl w:val="0"/>
              </w:rPr>
              <w:t xml:space="preserve"> para revocación rotatoria (RNF-11).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RF-02…05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push_devices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Dispositivos para notificaciones;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push_token</w:t>
            </w:r>
            <w:r w:rsidDel="00000000" w:rsidR="00000000" w:rsidRPr="00000000">
              <w:rPr>
                <w:rtl w:val="0"/>
              </w:rPr>
              <w:t xml:space="preserve"> único.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Adultos mayores (no son usuarios).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  <w:t xml:space="preserve">, soft delete.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RF-08…10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patient_conditions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Condiciones médicas (1FN; reemplaza arreglo JSON).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patient_members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Vínculo usuario↔paciente con rol;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is_owner</w:t>
            </w:r>
            <w:r w:rsidDel="00000000" w:rsidR="00000000" w:rsidRPr="00000000">
              <w:rPr>
                <w:rtl w:val="0"/>
              </w:rPr>
              <w:t xml:space="preserve">. Control de acceso.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RF-11…14, RF-12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invitations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Invitaciones por correo; token hasheado con vencimiento.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RF-11, RF-13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Registro inmutable (append-only) de accesos y cambios clínicos; trigger bloquea UPDATE/DELETE.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system_parameters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Catálogo de umbrales de negocio configurables (fuera del código).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RF-33, RF-52, RNF-11, RNF-13</w:t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Bloque 2 — Vitals y wearable</w:t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vital_types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Catálogo de tipos de signos vitales (fuente única de verdad).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RF-17…21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wearables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Dispositivo vinculado;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last_sync_at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battery_pct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RF-15, RF-16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Mediciones; particionada por mes (RNF-07); idempotente (RNF-08); CHECK de cordura de valores.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RF-17…20, RF-22, RF-44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vital_thresholds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Rango normal por paciente y tipo.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RF-21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wellbeing_snapshots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Fotografía diaria del semáforo (historiza el indicador que antes se calculaba al vuelo).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RF-22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Bloque 3 — Medicación</w:t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Plan de medicamento; dosis estructurada (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dose_amount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dose_unit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dose_text</w:t>
            </w:r>
            <w:r w:rsidDel="00000000" w:rsidR="00000000" w:rsidRPr="00000000">
              <w:rPr>
                <w:rtl w:val="0"/>
              </w:rPr>
              <w:t xml:space="preserve"> GENERATED).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RF-24…27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medication_times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Horarios de toma (1FN).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RF-24, RF-32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medication_days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Días habilitados (1FN).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RF-24, RF-32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Tomas y estado; sin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  <w:t xml:space="preserve"> (2FN, JOIN); 3 momentos: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administered_at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logged_at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RF-28…30, RF-32, RF-33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Bloque 4 — Alertas y emergencias</w:t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Alertas del sistema;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dedup_key</w:t>
            </w:r>
            <w:r w:rsidDel="00000000" w:rsidR="00000000" w:rsidRPr="00000000">
              <w:rPr>
                <w:rtl w:val="0"/>
              </w:rPr>
              <w:t xml:space="preserve"> evita repetidas (RF-46).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RF-44, RF-47…49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alert_deliveries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Un registro por intento de notificación; mide latencia (RNF-05).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RF-45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notification_settings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Preferencias por tipo; caída y emergencia no desactivables.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RF-50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emergency_contacts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Contactos en orden de escalamiento;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  <w:t xml:space="preserve"> (1FN).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RF-51, RF-52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sos_events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Activaciones del botón de emergencia; una por alerta; ubicación.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RF-51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Bloque 5 — Negocio (freemium)</w:t>
      </w:r>
    </w:p>
    <w:tbl>
      <w:tblPr>
        <w:tblStyle w:val="Table6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Suscripción del modelo freemium; una activa por usuario;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provider_ref</w:t>
            </w:r>
            <w:r w:rsidDel="00000000" w:rsidR="00000000" w:rsidRPr="00000000">
              <w:rPr>
                <w:rtl w:val="0"/>
              </w:rPr>
              <w:t xml:space="preserve"> opaco (sin datos de tarjeta).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RF-73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5. Estado de normalización</w:t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tl w:val="0"/>
        </w:rPr>
        <w:t xml:space="preserve">Correcciones aplicadas (hasta 2FN)</w:t>
      </w:r>
    </w:p>
    <w:tbl>
      <w:tblPr>
        <w:tblStyle w:val="Table7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 no atómico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  <w:t xml:space="preserve"> + GENERATED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conditions</w:t>
            </w:r>
            <w:r w:rsidDel="00000000" w:rsidR="00000000" w:rsidRPr="00000000">
              <w:rPr>
                <w:rtl w:val="0"/>
              </w:rPr>
              <w:t xml:space="preserve"> jsonb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tabla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times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days_of_week</w:t>
            </w:r>
            <w:r w:rsidDel="00000000" w:rsidR="00000000" w:rsidRPr="00000000">
              <w:rPr>
                <w:rtl w:val="0"/>
              </w:rPr>
              <w:t xml:space="preserve"> jsonb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medication_times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patient_id</w:t>
            </w:r>
            <w:r w:rsidDel="00000000" w:rsidR="00000000" w:rsidRPr="00000000">
              <w:rPr>
                <w:rtl w:val="0"/>
              </w:rPr>
              <w:t xml:space="preserve"> redundante (2FN)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eliminado; se usa JOIN con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update_at</w:t>
            </w:r>
            <w:r w:rsidDel="00000000" w:rsidR="00000000" w:rsidRPr="00000000">
              <w:rPr>
                <w:rtl w:val="0"/>
              </w:rPr>
              <w:t xml:space="preserve"> (typo, rompía el trigger)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vital_thresholds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  <w:t xml:space="preserve"> de tipo duplicado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catálogo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vital_types</w:t>
            </w:r>
            <w:r w:rsidDel="00000000" w:rsidR="00000000" w:rsidRPr="00000000">
              <w:rPr>
                <w:rtl w:val="0"/>
              </w:rPr>
              <w:t xml:space="preserve"> + FK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push_devices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trigger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  <w:t xml:space="preserve"> faltante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trigger agregado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emergency_contacts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  <w:t xml:space="preserve"> no atómico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  <w:t xml:space="preserve"> + GENERATED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</w:t>
            </w:r>
            <w:r w:rsidDel="00000000" w:rsidR="00000000" w:rsidRPr="00000000">
              <w:rPr>
                <w:rtl w:val="0"/>
              </w:rPr>
              <w:t xml:space="preserve"> varchar ("50 mg") no computable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dose_amount</w:t>
            </w:r>
            <w:r w:rsidDel="00000000" w:rsidR="00000000" w:rsidRPr="00000000">
              <w:rPr>
                <w:rtl w:val="0"/>
              </w:rPr>
              <w:t xml:space="preserve"> numérico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dose_unit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dose_text</w:t>
            </w:r>
            <w:r w:rsidDel="00000000" w:rsidR="00000000" w:rsidRPr="00000000">
              <w:rPr>
                <w:rtl w:val="0"/>
              </w:rPr>
              <w:t xml:space="preserve"> GENERATED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logged_at</w:t>
            </w:r>
            <w:r w:rsidDel="00000000" w:rsidR="00000000" w:rsidRPr="00000000">
              <w:rPr>
                <w:rtl w:val="0"/>
              </w:rPr>
              <w:t xml:space="preserve"> confundía hecho clínico y registro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 agrega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administered_at</w:t>
            </w:r>
            <w:r w:rsidDel="00000000" w:rsidR="00000000" w:rsidRPr="00000000">
              <w:rPr>
                <w:rtl w:val="0"/>
              </w:rPr>
              <w:t xml:space="preserve"> (hora real de administración)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rPr/>
      </w:pPr>
      <w:r w:rsidDel="00000000" w:rsidR="00000000" w:rsidRPr="00000000">
        <w:rPr>
          <w:rtl w:val="0"/>
        </w:rPr>
        <w:t xml:space="preserve">Excepciones documentadas (decisión de diseño, no error)</w:t>
      </w:r>
    </w:p>
    <w:tbl>
      <w:tblPr>
        <w:tblStyle w:val="Table8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  <w:t xml:space="preserve"> PK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(id, measured_at)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PostgreSQL exige la columna de particionamiento en la PK.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alerts.payload</w:t>
            </w:r>
            <w:r w:rsidDel="00000000" w:rsidR="00000000" w:rsidRPr="00000000">
              <w:rPr>
                <w:rtl w:val="0"/>
              </w:rPr>
              <w:t xml:space="preserve"> jsonb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Atributos variables según el tipo de alerta; no se consultan ni cruzan.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vital_readings.meta</w:t>
            </w:r>
            <w:r w:rsidDel="00000000" w:rsidR="00000000" w:rsidRPr="00000000">
              <w:rPr>
                <w:rtl w:val="0"/>
              </w:rPr>
              <w:t xml:space="preserve"> jsonb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Cada proveedor de wearable envía campos distintos; solo trazabilidad.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patients.rut_dv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Derivable de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rut_number</w:t>
            </w:r>
            <w:r w:rsidDel="00000000" w:rsidR="00000000" w:rsidRPr="00000000">
              <w:rPr>
                <w:rtl w:val="0"/>
              </w:rPr>
              <w:t xml:space="preserve"> (módulo 11); se guarda por conveniencia de validación.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Detalle completo en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docs/Normalizacion_2FN_AgeCare.md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6. Matriz de cobertura — Modelo ↔ Requisitos del ERS (transparencia)</w:t>
      </w:r>
    </w:p>
    <w:tbl>
      <w:tblPr>
        <w:tblStyle w:val="Table9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2e5a88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 del 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a88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y cuentas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RF-01…07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refresh_tokens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push_devices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Pacientes y círculo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RF-08…16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patient_conditions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patient_members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invitations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wearables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Salud y signos vitales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RF-17…23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vital_types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vital_readings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vital_thresholds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wearables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Medicamentos y adherencia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RF-24…33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medication_times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medication_days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scheduled_doses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✅ 100% (OCR RF-31 es lógica de app, no requiere tabla nueva)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Alertas y emergencias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RF-44…52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alert_deliveries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notification_settings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emergency_contacts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sos_events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system_parameters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Operación de la cuidadora (freemium)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RF-73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✅ Base de datos lista (validación en app)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Trazabilidad clínica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RNF-14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7254e"/>
                <w:sz w:val="18"/>
                <w:szCs w:val="18"/>
                <w:rtl w:val="0"/>
              </w:rPr>
              <w:t xml:space="preserve">audit_log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✅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Bitácora del expediente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RF-34…38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Archivos y documentos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RF-39…43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Comunicación + Asistente IA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RF-53…59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Vista del adulto mayor (+ Director Musical)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RF-60…69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Operación de la cuidadora (resto)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RF-70…72, RF-74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Marketplace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RF-75…79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Funcionamiento sin conexión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RF-80…82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Fase 2 (resto, lado app)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⏳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rPr/>
      </w:pPr>
      <w:r w:rsidDel="00000000" w:rsidR="00000000" w:rsidRPr="00000000">
        <w:rPr>
          <w:rtl w:val="0"/>
        </w:rPr>
        <w:t xml:space="preserve">Conclusión de cobertura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núcleo de salud (RF-01…33 y RF-44…52) está 100% soportado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por el modelo definitivo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(24 tablas). Este es el avance comprometido para el 04 de octubre.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cuatro tablas transversales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audit_log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system_parameters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c7254e"/>
          <w:sz w:val="18"/>
          <w:szCs w:val="18"/>
          <w:u w:val="none"/>
          <w:shd w:fill="auto" w:val="clear"/>
          <w:vertAlign w:val="baseline"/>
          <w:rtl w:val="0"/>
        </w:rPr>
        <w:t xml:space="preserve">wellbeing_snapshots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subscriptions</w:t>
      </w:r>
      <w:r w:rsidDel="00000000" w:rsidR="00000000" w:rsidRPr="00000000">
        <w:rPr>
          <w:rtl w:val="0"/>
        </w:rPr>
        <w:t xml:space="preserve">) nacen del </w:t>
      </w:r>
      <w:r w:rsidDel="00000000" w:rsidR="00000000" w:rsidRPr="00000000">
        <w:rPr>
          <w:b w:val="1"/>
          <w:bCs w:val="1"/>
          <w:rtl w:val="0"/>
        </w:rPr>
        <w:t xml:space="preserve">análisis de realidad</w:t>
      </w:r>
      <w:r w:rsidDel="00000000" w:rsidR="00000000" w:rsidRPr="00000000">
        <w:rPr>
          <w:rtl w:val="0"/>
        </w:rPr>
        <w:t xml:space="preserve"> (documento 04): resuelven trazabilidad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clínica (RNF-14), configurabilidad de umbrales, memoria histórica del bienestar y base del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modelo freemium (RF-73).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módulos restantes del ERS están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especificados y declarados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 se incorporan en el resto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 la Fase 2 siguiendo el patrón ya establecido (FK a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  <w:t xml:space="preserve">, control por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patient_members</w:t>
      </w:r>
      <w:r w:rsidDel="00000000" w:rsidR="00000000" w:rsidRPr="00000000">
        <w:rPr>
          <w:rtl w:val="0"/>
        </w:rPr>
        <w:t xml:space="preserve">), sin rediseñar el núcleo.</w:t>
      </w:r>
    </w:p>
    <w:p w:rsidR="00000000" w:rsidDel="00000000" w:rsidP="00000000" w:rsidRDefault="00000000" w:rsidRPr="00000000" w14:paraId="0000013E">
      <w:pPr>
        <w:pBdr>
          <w:bottom w:color="a0a0a0" w:space="1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r w:rsidDel="00000000" w:rsidR="00000000" w:rsidRPr="00000000">
        <w:rPr>
          <w:rtl w:val="0"/>
        </w:rPr>
        <w:t xml:space="preserve">7. Orden de carga de scripts (dependencias de FK)</w:t>
      </w:r>
    </w:p>
    <w:p w:rsidR="00000000" w:rsidDel="00000000" w:rsidP="00000000" w:rsidRDefault="00000000" w:rsidRPr="00000000" w14:paraId="00000140">
      <w:pPr>
        <w:shd w:fill="f2f2f2" w:val="clear"/>
        <w:ind w:left="288" w:firstLine="0"/>
        <w:rPr/>
      </w:pPr>
      <w:r w:rsidDel="00000000" w:rsidR="00000000" w:rsidRPr="00000000">
        <w:rPr>
          <w:rFonts w:ascii="Consolas" w:cs="Consolas" w:eastAsia="Consolas" w:hAnsi="Consolas"/>
          <w:color w:val="1e1e1e"/>
          <w:sz w:val="17"/>
          <w:szCs w:val="17"/>
          <w:rtl w:val="0"/>
        </w:rPr>
        <w:t xml:space="preserve">001_base              función set_updated_at</w:t>
        <w:br w:type="textWrapping"/>
        <w:t xml:space="preserve">101_users             → base de todo</w:t>
        <w:br w:type="textWrapping"/>
        <w:t xml:space="preserve">102_refresh_tokens    → users</w:t>
        <w:br w:type="textWrapping"/>
        <w:t xml:space="preserve">103_push_devices      → users</w:t>
        <w:br w:type="textWrapping"/>
        <w:t xml:space="preserve">104_patients          + patient_conditions</w:t>
        <w:br w:type="textWrapping"/>
        <w:t xml:space="preserve">105_patient_members   → patients, users</w:t>
        <w:br w:type="textWrapping"/>
        <w:t xml:space="preserve">106_invitations       → patients, users</w:t>
        <w:br w:type="textWrapping"/>
        <w:t xml:space="preserve">107_audit_log         → users, patients (trazabilidad inmutable)</w:t>
        <w:br w:type="textWrapping"/>
        <w:t xml:space="preserve">108_system_parameters → users (parámetros de negocio)</w:t>
        <w:br w:type="textWrapping"/>
        <w:t xml:space="preserve">200_vital_types       catálogo (antes de 202/203)</w:t>
        <w:br w:type="textWrapping"/>
        <w:t xml:space="preserve">201_wearables         → patients</w:t>
        <w:br w:type="textWrapping"/>
        <w:t xml:space="preserve">202_vital_readings    → patients, vital_types   (particionada por mes)</w:t>
        <w:br w:type="textWrapping"/>
        <w:t xml:space="preserve">203_vital_thresholds  → patients, vital_types</w:t>
        <w:br w:type="textWrapping"/>
        <w:t xml:space="preserve">204_wellbeing_snapshots → patients (historial del semáforo)</w:t>
        <w:br w:type="textWrapping"/>
        <w:t xml:space="preserve">301_medications       + medication_times + medication_days → patients</w:t>
        <w:br w:type="textWrapping"/>
        <w:t xml:space="preserve">302_scheduled_doses   → medications, users</w:t>
        <w:br w:type="textWrapping"/>
        <w:t xml:space="preserve">401_alerts            → patients, users</w:t>
        <w:br w:type="textWrapping"/>
        <w:t xml:space="preserve">402_alert_deliveries  → alerts, users, push_devices</w:t>
        <w:br w:type="textWrapping"/>
        <w:t xml:space="preserve">403_notification_settings → users</w:t>
        <w:br w:type="textWrapping"/>
        <w:t xml:space="preserve">404_emergency_contacts → patients</w:t>
        <w:br w:type="textWrapping"/>
        <w:t xml:space="preserve">405_sos_events        → patients, users, alerts</w:t>
        <w:br w:type="textWrapping"/>
        <w:t xml:space="preserve">501_subscriptions     → users (modelo freemium)</w:t>
        <w:br w:type="textWrapping"/>
        <w:t xml:space="preserve">900_seed_dev          datos de demostración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El prefijo numérico garantiza que cada tabla padre preceda a sus claves foráneas: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patients</w:t>
      </w:r>
      <w:r w:rsidDel="00000000" w:rsidR="00000000" w:rsidRPr="00000000">
        <w:rPr>
          <w:rtl w:val="0"/>
        </w:rPr>
        <w:t xml:space="preserve"> antes de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audit_log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system_parameters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7254e"/>
          <w:sz w:val="18"/>
          <w:szCs w:val="18"/>
          <w:rtl w:val="0"/>
        </w:rPr>
        <w:t xml:space="preserve">vital_types</w:t>
      </w:r>
      <w:r w:rsidDel="00000000" w:rsidR="00000000" w:rsidRPr="00000000">
        <w:rPr>
          <w:rtl w:val="0"/>
        </w:rPr>
        <w:t xml:space="preserve"> (200) antes de las tablas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que lo referencian (202, 203), y así sucesivamente. Este encadenamiento explícito es coherente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con el orden secuencial propio de la metodología en cascada.</w:t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/3NFqgPBaHkb2kfCLrvOdCEw2w==">CgMxLjAaJAoBMBIfCh0IB0IZCgVBcmlhbBIQQXJpYWwgVW5pY29kZSBNUzgAciExN0JwUnBTWDc2UXFPWGRlYnA1aFhodS1qY2Z3S0JXSVI=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