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B4965"/>
          <w:sz w:val="64"/>
          <w:szCs w:val="64"/>
        </w:rPr>
        <w:t xml:space="preserve">AgeCare</w:t>
      </w:r>
    </w:p>
    <w:p>
      <w:pPr>
        <w:spacing w:after="420" w:before="0" w:line="276"/>
        <w:jc w:val="center"/>
      </w:pPr>
      <w:r>
        <w:rPr>
          <w:i/>
          <w:iCs/>
          <w:color w:val="5A6672"/>
          <w:sz w:val="22"/>
          <w:szCs w:val="22"/>
        </w:rPr>
        <w:t xml:space="preserve">Plataforma digital integral de cuidado de adultos mayores</w:t>
      </w:r>
    </w:p>
    <w:p>
      <w:pPr>
        <w:spacing w:after="160" w:before="0" w:line="276"/>
        <w:jc w:val="center"/>
      </w:pPr>
      <w:r>
        <w:rPr>
          <w:b/>
          <w:bCs/>
          <w:color w:val="1A1A1A"/>
          <w:sz w:val="30"/>
          <w:szCs w:val="30"/>
        </w:rPr>
        <w:t xml:space="preserve">Análisis y Corrección de Normalización (hasta 3FN)</w:t>
      </w:r>
    </w:p>
    <w:p>
      <w:pPr>
        <w:spacing w:after="500" w:before="0" w:line="276"/>
        <w:jc w:val="center"/>
      </w:pPr>
      <w:r>
        <w:rPr>
          <w:color w:val="5A6672"/>
          <w:sz w:val="21"/>
          <w:szCs w:val="21"/>
        </w:rPr>
        <w:t xml:space="preserve">Versión 2 · Revisión completa del modelo de 65 tablas</w:t>
      </w:r>
    </w:p>
    <w:p>
      <w:pPr>
        <w:spacing w:after="60" w:before="0" w:line="276"/>
        <w:jc w:val="center"/>
      </w:pPr>
      <w:r>
        <w:rPr>
          <w:color w:val="5A6672"/>
          <w:sz w:val="20"/>
          <w:szCs w:val="20"/>
        </w:rPr>
        <w:t xml:space="preserve">Fase 2 · Diseño del Sistema</w:t>
      </w:r>
    </w:p>
    <w:p>
      <w:pPr>
        <w:spacing w:after="60" w:before="0" w:line="276"/>
        <w:jc w:val="center"/>
      </w:pPr>
      <w:r>
        <w:rPr>
          <w:color w:val="5A6672"/>
          <w:sz w:val="20"/>
          <w:szCs w:val="20"/>
        </w:rPr>
        <w:t xml:space="preserve">Proyecto APT · Capstone PTY4614</w:t>
      </w:r>
    </w:p>
    <w:p>
      <w:pPr>
        <w:spacing w:after="60" w:before="0" w:line="276"/>
        <w:jc w:val="center"/>
      </w:pPr>
      <w:r>
        <w:rPr>
          <w:color w:val="5A6672"/>
          <w:sz w:val="20"/>
          <w:szCs w:val="20"/>
        </w:rPr>
        <w:t xml:space="preserve">Duoc UC · Escuela de Informática y Telecomunicaciones · Sede San Andrés de Concepción</w:t>
      </w:r>
    </w:p>
    <w:p>
      <w:pPr>
        <w:spacing w:after="60" w:before="0" w:line="276"/>
        <w:jc w:val="center"/>
      </w:pPr>
      <w:r>
        <w:rPr>
          <w:color w:val="5A6672"/>
          <w:sz w:val="20"/>
          <w:szCs w:val="20"/>
        </w:rPr>
        <w:t xml:space="preserve">Empresa contraparte: Alloxentric</w:t>
      </w:r>
    </w:p>
    <w:p>
      <w:pPr>
        <w:spacing w:after="240" w:before="0" w:line="276"/>
      </w:pPr>
      <w:r>
        <w:rPr>
          <w:color w:val="1A1A1A"/>
          <w:sz w:val="21"/>
          <w:szCs w:val="21"/>
        </w:rPr>
        <w:t xml:space="preserve"/>
      </w:r>
    </w:p>
    <w:p>
      <w:pPr>
        <w:spacing w:after="60" w:before="0" w:line="276"/>
        <w:jc w:val="center"/>
      </w:pPr>
      <w:r>
        <w:rPr>
          <w:color w:val="1A1A1A"/>
          <w:sz w:val="20"/>
          <w:szCs w:val="20"/>
        </w:rPr>
        <w:t xml:space="preserve">Equipo: Javier Cerna Chávez · Benjamín Camus · Juan Mora</w:t>
      </w:r>
    </w:p>
    <w:p>
      <w:pPr>
        <w:spacing w:after="120" w:before="0" w:line="276"/>
        <w:jc w:val="center"/>
      </w:pPr>
      <w:r>
        <w:rPr>
          <w:color w:val="1A1A1A"/>
          <w:sz w:val="20"/>
          <w:szCs w:val="20"/>
        </w:rPr>
        <w:t xml:space="preserve">Docentes: Jazna Meza Hidalgo · Juan Pablo Mellado Alarcón</w:t>
      </w:r>
    </w:p>
    <w:p>
      <w:r>
        <w:br w:type="page"/>
      </w:r>
    </w:p>
    <w:p>
      <w:pPr>
        <w:pStyle w:val="Heading1"/>
        <w:spacing w:after="160" w:before="320"/>
      </w:pPr>
      <w:r>
        <w:rPr>
          <w:b/>
          <w:bCs/>
          <w:color w:val="1B4965"/>
          <w:sz w:val="30"/>
          <w:szCs w:val="30"/>
        </w:rPr>
        <w:t xml:space="preserve">1. Por qué esta versión declara 3FN</w:t>
      </w:r>
    </w:p>
    <w:p>
      <w:pPr>
        <w:spacing w:after="120" w:before="0" w:line="276"/>
      </w:pPr>
      <w:r>
        <w:rPr>
          <w:color w:val="1A1A1A"/>
          <w:sz w:val="21"/>
          <w:szCs w:val="21"/>
        </w:rPr>
        <w:t xml:space="preserve">La versión anterior de este documento revisaba el esquema contra la Primera y Segunda Forma Normal, y así se llamaba el archivo. Esa revisión cubría 24 tablas.</w:t>
      </w:r>
    </w:p>
    <w:p>
      <w:pPr>
        <w:spacing w:after="120" w:before="0" w:line="276"/>
      </w:pPr>
      <w:r>
        <w:rPr>
          <w:color w:val="1A1A1A"/>
          <w:sz w:val="21"/>
          <w:szCs w:val="21"/>
        </w:rPr>
        <w:t xml:space="preserve">El modelo creció a 65 tablas. Al revisarlo completo quedó claro que declarar 2FN se queda corto: 59 de las 65 tablas cumplen Tercera Forma Normal, y las que no, no la incumplen por descuido sino por una razón que se puede nombrar y defender.</w:t>
      </w:r>
    </w:p>
    <w:p>
      <w:pPr>
        <w:spacing w:after="120" w:before="0" w:line="276"/>
      </w:pPr>
      <w:r>
        <w:rPr>
          <w:color w:val="1A1A1A"/>
          <w:sz w:val="21"/>
          <w:szCs w:val="21"/>
        </w:rPr>
        <w:t xml:space="preserve">Declarar menos de lo que se cumple es un problema en una defensa. Si el documento dice 2FN, la pregunta natural es por qué se quedaron ahí teniendo el trabajo hecho. Esta versión declara 3FN y entrega la lista cerrada de excepciones.</w:t>
      </w:r>
    </w:p>
    <w:p>
      <w:pPr>
        <w:pStyle w:val="Heading2"/>
        <w:spacing w:after="120" w:before="260"/>
      </w:pPr>
      <w:r>
        <w:rPr>
          <w:b/>
          <w:bCs/>
          <w:color w:val="1B4965"/>
          <w:sz w:val="24"/>
          <w:szCs w:val="24"/>
        </w:rPr>
        <w:t xml:space="preserve">Conceptos aplicados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1B4965" w:val="clear"/>
            <w:tcMar>
              <w:top w:type="dxa" w:w="90"/>
              <w:left w:type="dxa" w:w="110"/>
              <w:bottom w:type="dxa" w:w="90"/>
              <w:right w:type="dxa" w:w="110"/>
            </w:tcMar>
          </w:tcPr>
          <w:p>
            <w:pPr>
              <w:spacing w:after="0"/>
            </w:pPr>
            <w:r>
              <w:rPr>
                <w:b/>
                <w:bCs/>
                <w:color w:val="FFFFFF"/>
                <w:sz w:val="19"/>
                <w:szCs w:val="19"/>
              </w:rPr>
              <w:t xml:space="preserve">Forma Normal</w:t>
            </w:r>
          </w:p>
        </w:tc>
        <w:tc>
          <w:tcPr>
            <w:tcW w:type="dxa" w:w="7526"/>
            <w:shd w:fill="1B4965" w:val="clear"/>
            <w:tcMar>
              <w:top w:type="dxa" w:w="90"/>
              <w:left w:type="dxa" w:w="110"/>
              <w:bottom w:type="dxa" w:w="90"/>
              <w:right w:type="dxa" w:w="110"/>
            </w:tcMar>
          </w:tcPr>
          <w:p>
            <w:pPr>
              <w:spacing w:after="0"/>
            </w:pPr>
            <w:r>
              <w:rPr>
                <w:b/>
                <w:bCs/>
                <w:color w:val="FFFFFF"/>
                <w:sz w:val="19"/>
                <w:szCs w:val="19"/>
              </w:rPr>
              <w:t xml:space="preserve">Regla</w:t>
            </w:r>
          </w:p>
        </w:tc>
      </w:tr>
      <w:tr>
        <w:tc>
          <w:tcPr>
            <w:tcW w:type="dxa" w:w="1500"/>
            <w:tcMar>
              <w:top w:type="dxa" w:w="80"/>
              <w:left w:type="dxa" w:w="110"/>
              <w:bottom w:type="dxa" w:w="80"/>
              <w:right w:type="dxa" w:w="110"/>
            </w:tcMar>
          </w:tcPr>
          <w:p>
            <w:pPr>
              <w:spacing w:after="0"/>
            </w:pPr>
            <w:r>
              <w:rPr>
                <w:sz w:val="18"/>
                <w:szCs w:val="18"/>
              </w:rPr>
              <w:t xml:space="preserve">1FN</w:t>
            </w:r>
          </w:p>
        </w:tc>
        <w:tc>
          <w:tcPr>
            <w:tcW w:type="dxa" w:w="7526"/>
            <w:tcMar>
              <w:top w:type="dxa" w:w="80"/>
              <w:left w:type="dxa" w:w="110"/>
              <w:bottom w:type="dxa" w:w="80"/>
              <w:right w:type="dxa" w:w="110"/>
            </w:tcMar>
          </w:tcPr>
          <w:p>
            <w:pPr>
              <w:spacing w:after="0"/>
            </w:pPr>
            <w:r>
              <w:rPr>
                <w:sz w:val="18"/>
                <w:szCs w:val="18"/>
              </w:rPr>
              <w:t xml:space="preserve">Cada celda contiene un valor atómico. No hay grupos repetidos ni arreglos multivaluados. Existe clave primaria.</w:t>
            </w:r>
          </w:p>
        </w:tc>
      </w:tr>
      <w:tr>
        <w:tc>
          <w:tcPr>
            <w:tcW w:type="dxa" w:w="1500"/>
            <w:shd w:fill="F2F5F7" w:val="clear"/>
            <w:tcMar>
              <w:top w:type="dxa" w:w="80"/>
              <w:left w:type="dxa" w:w="110"/>
              <w:bottom w:type="dxa" w:w="80"/>
              <w:right w:type="dxa" w:w="110"/>
            </w:tcMar>
          </w:tcPr>
          <w:p>
            <w:pPr>
              <w:spacing w:after="0"/>
            </w:pPr>
            <w:r>
              <w:rPr>
                <w:sz w:val="18"/>
                <w:szCs w:val="18"/>
              </w:rPr>
              <w:t xml:space="preserve">2FN</w:t>
            </w:r>
          </w:p>
        </w:tc>
        <w:tc>
          <w:tcPr>
            <w:tcW w:type="dxa" w:w="7526"/>
            <w:shd w:fill="F2F5F7" w:val="clear"/>
            <w:tcMar>
              <w:top w:type="dxa" w:w="80"/>
              <w:left w:type="dxa" w:w="110"/>
              <w:bottom w:type="dxa" w:w="80"/>
              <w:right w:type="dxa" w:w="110"/>
            </w:tcMar>
          </w:tcPr>
          <w:p>
            <w:pPr>
              <w:spacing w:after="0"/>
            </w:pPr>
            <w:r>
              <w:rPr>
                <w:sz w:val="18"/>
                <w:szCs w:val="18"/>
              </w:rPr>
              <w:t xml:space="preserve">Cumple 1FN y cada atributo no clave depende de toda la clave primaria, no de una parte. Solo aplica cuando la clave es compuesta.</w:t>
            </w:r>
          </w:p>
        </w:tc>
      </w:tr>
      <w:tr>
        <w:tc>
          <w:tcPr>
            <w:tcW w:type="dxa" w:w="1500"/>
            <w:tcMar>
              <w:top w:type="dxa" w:w="80"/>
              <w:left w:type="dxa" w:w="110"/>
              <w:bottom w:type="dxa" w:w="80"/>
              <w:right w:type="dxa" w:w="110"/>
            </w:tcMar>
          </w:tcPr>
          <w:p>
            <w:pPr>
              <w:spacing w:after="0"/>
            </w:pPr>
            <w:r>
              <w:rPr>
                <w:sz w:val="18"/>
                <w:szCs w:val="18"/>
              </w:rPr>
              <w:t xml:space="preserve">3FN</w:t>
            </w:r>
          </w:p>
        </w:tc>
        <w:tc>
          <w:tcPr>
            <w:tcW w:type="dxa" w:w="7526"/>
            <w:tcMar>
              <w:top w:type="dxa" w:w="80"/>
              <w:left w:type="dxa" w:w="110"/>
              <w:bottom w:type="dxa" w:w="80"/>
              <w:right w:type="dxa" w:w="110"/>
            </w:tcMar>
          </w:tcPr>
          <w:p>
            <w:pPr>
              <w:spacing w:after="0"/>
            </w:pPr>
            <w:r>
              <w:rPr>
                <w:sz w:val="18"/>
                <w:szCs w:val="18"/>
              </w:rPr>
              <w:t xml:space="preserve">Cumple 2FN y ningún atributo no clave depende de otro atributo no clave. No hay dependencias transitivas.</w:t>
            </w:r>
          </w:p>
        </w:tc>
      </w:tr>
    </w:tbl>
    <w:p>
      <w:pPr>
        <w:pStyle w:val="Heading2"/>
        <w:spacing w:after="120" w:before="260"/>
      </w:pPr>
      <w:r>
        <w:rPr>
          <w:b/>
          <w:bCs/>
          <w:color w:val="1B4965"/>
          <w:sz w:val="24"/>
          <w:szCs w:val="24"/>
        </w:rPr>
        <w:t xml:space="preserve">Alcance de la revisión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1B4965" w:val="clear"/>
            <w:tcMar>
              <w:top w:type="dxa" w:w="90"/>
              <w:left w:type="dxa" w:w="110"/>
              <w:bottom w:type="dxa" w:w="90"/>
              <w:right w:type="dxa" w:w="110"/>
            </w:tcMar>
          </w:tcPr>
          <w:p>
            <w:pPr>
              <w:spacing w:after="0"/>
            </w:pPr>
            <w:r>
              <w:rPr>
                <w:b/>
                <w:bCs/>
                <w:color w:val="FFFFFF"/>
                <w:sz w:val="19"/>
                <w:szCs w:val="19"/>
              </w:rPr>
              <w:t xml:space="preserve">Indicador</w:t>
            </w:r>
          </w:p>
        </w:tc>
        <w:tc>
          <w:tcPr>
            <w:tcW w:type="dxa" w:w="4826"/>
            <w:shd w:fill="1B4965" w:val="clear"/>
            <w:tcMar>
              <w:top w:type="dxa" w:w="90"/>
              <w:left w:type="dxa" w:w="110"/>
              <w:bottom w:type="dxa" w:w="90"/>
              <w:right w:type="dxa" w:w="110"/>
            </w:tcMar>
          </w:tcPr>
          <w:p>
            <w:pPr>
              <w:spacing w:after="0"/>
            </w:pPr>
            <w:r>
              <w:rPr>
                <w:b/>
                <w:bCs/>
                <w:color w:val="FFFFFF"/>
                <w:sz w:val="19"/>
                <w:szCs w:val="19"/>
              </w:rPr>
              <w:t xml:space="preserve">Valor</w:t>
            </w:r>
          </w:p>
        </w:tc>
      </w:tr>
      <w:tr>
        <w:tc>
          <w:tcPr>
            <w:tcW w:type="dxa" w:w="4200"/>
            <w:tcMar>
              <w:top w:type="dxa" w:w="80"/>
              <w:left w:type="dxa" w:w="110"/>
              <w:bottom w:type="dxa" w:w="80"/>
              <w:right w:type="dxa" w:w="110"/>
            </w:tcMar>
          </w:tcPr>
          <w:p>
            <w:pPr>
              <w:spacing w:after="0"/>
            </w:pPr>
            <w:r>
              <w:rPr>
                <w:sz w:val="18"/>
                <w:szCs w:val="18"/>
              </w:rPr>
              <w:t xml:space="preserve">Tablas de negocio revisadas</w:t>
            </w:r>
          </w:p>
        </w:tc>
        <w:tc>
          <w:tcPr>
            <w:tcW w:type="dxa" w:w="4826"/>
            <w:tcMar>
              <w:top w:type="dxa" w:w="80"/>
              <w:left w:type="dxa" w:w="110"/>
              <w:bottom w:type="dxa" w:w="80"/>
              <w:right w:type="dxa" w:w="110"/>
            </w:tcMar>
          </w:tcPr>
          <w:p>
            <w:pPr>
              <w:spacing w:after="0"/>
            </w:pPr>
            <w:r>
              <w:rPr>
                <w:sz w:val="18"/>
                <w:szCs w:val="18"/>
              </w:rPr>
              <w:t xml:space="preserve">65</w:t>
            </w:r>
          </w:p>
        </w:tc>
      </w:tr>
      <w:tr>
        <w:tc>
          <w:tcPr>
            <w:tcW w:type="dxa" w:w="4200"/>
            <w:shd w:fill="F2F5F7" w:val="clear"/>
            <w:tcMar>
              <w:top w:type="dxa" w:w="80"/>
              <w:left w:type="dxa" w:w="110"/>
              <w:bottom w:type="dxa" w:w="80"/>
              <w:right w:type="dxa" w:w="110"/>
            </w:tcMar>
          </w:tcPr>
          <w:p>
            <w:pPr>
              <w:spacing w:after="0"/>
            </w:pPr>
            <w:r>
              <w:rPr>
                <w:sz w:val="18"/>
                <w:szCs w:val="18"/>
              </w:rPr>
              <w:t xml:space="preserve">Claves foráneas</w:t>
            </w:r>
          </w:p>
        </w:tc>
        <w:tc>
          <w:tcPr>
            <w:tcW w:type="dxa" w:w="4826"/>
            <w:shd w:fill="F2F5F7" w:val="clear"/>
            <w:tcMar>
              <w:top w:type="dxa" w:w="80"/>
              <w:left w:type="dxa" w:w="110"/>
              <w:bottom w:type="dxa" w:w="80"/>
              <w:right w:type="dxa" w:w="110"/>
            </w:tcMar>
          </w:tcPr>
          <w:p>
            <w:pPr>
              <w:spacing w:after="0"/>
            </w:pPr>
            <w:r>
              <w:rPr>
                <w:sz w:val="18"/>
                <w:szCs w:val="18"/>
              </w:rPr>
              <w:t xml:space="preserve">255, todas con ON DELETE RESTRICT</w:t>
            </w:r>
          </w:p>
        </w:tc>
      </w:tr>
      <w:tr>
        <w:tc>
          <w:tcPr>
            <w:tcW w:type="dxa" w:w="4200"/>
            <w:tcMar>
              <w:top w:type="dxa" w:w="80"/>
              <w:left w:type="dxa" w:w="110"/>
              <w:bottom w:type="dxa" w:w="80"/>
              <w:right w:type="dxa" w:w="110"/>
            </w:tcMar>
          </w:tcPr>
          <w:p>
            <w:pPr>
              <w:spacing w:after="0"/>
            </w:pPr>
            <w:r>
              <w:rPr>
                <w:sz w:val="18"/>
                <w:szCs w:val="18"/>
              </w:rPr>
              <w:t xml:space="preserve">Restricciones CHECK</w:t>
            </w:r>
          </w:p>
        </w:tc>
        <w:tc>
          <w:tcPr>
            <w:tcW w:type="dxa" w:w="4826"/>
            <w:tcMar>
              <w:top w:type="dxa" w:w="80"/>
              <w:left w:type="dxa" w:w="110"/>
              <w:bottom w:type="dxa" w:w="80"/>
              <w:right w:type="dxa" w:w="110"/>
            </w:tcMar>
          </w:tcPr>
          <w:p>
            <w:pPr>
              <w:spacing w:after="0"/>
            </w:pPr>
            <w:r>
              <w:rPr>
                <w:sz w:val="18"/>
                <w:szCs w:val="18"/>
              </w:rPr>
              <w:t xml:space="preserve">442</w:t>
            </w:r>
          </w:p>
        </w:tc>
      </w:tr>
      <w:tr>
        <w:tc>
          <w:tcPr>
            <w:tcW w:type="dxa" w:w="4200"/>
            <w:shd w:fill="F2F5F7" w:val="clear"/>
            <w:tcMar>
              <w:top w:type="dxa" w:w="80"/>
              <w:left w:type="dxa" w:w="110"/>
              <w:bottom w:type="dxa" w:w="80"/>
              <w:right w:type="dxa" w:w="110"/>
            </w:tcMar>
          </w:tcPr>
          <w:p>
            <w:pPr>
              <w:spacing w:after="0"/>
            </w:pPr>
            <w:r>
              <w:rPr>
                <w:sz w:val="18"/>
                <w:szCs w:val="18"/>
              </w:rPr>
              <w:t xml:space="preserve">Tablas que cumplen 3FN sin excepción</w:t>
            </w:r>
          </w:p>
        </w:tc>
        <w:tc>
          <w:tcPr>
            <w:tcW w:type="dxa" w:w="4826"/>
            <w:shd w:fill="F2F5F7" w:val="clear"/>
            <w:tcMar>
              <w:top w:type="dxa" w:w="80"/>
              <w:left w:type="dxa" w:w="110"/>
              <w:bottom w:type="dxa" w:w="80"/>
              <w:right w:type="dxa" w:w="110"/>
            </w:tcMar>
          </w:tcPr>
          <w:p>
            <w:pPr>
              <w:spacing w:after="0"/>
            </w:pPr>
            <w:r>
              <w:rPr>
                <w:sz w:val="18"/>
                <w:szCs w:val="18"/>
              </w:rPr>
              <w:t xml:space="preserve">59</w:t>
            </w:r>
          </w:p>
        </w:tc>
      </w:tr>
      <w:tr>
        <w:tc>
          <w:tcPr>
            <w:tcW w:type="dxa" w:w="4200"/>
            <w:tcMar>
              <w:top w:type="dxa" w:w="80"/>
              <w:left w:type="dxa" w:w="110"/>
              <w:bottom w:type="dxa" w:w="80"/>
              <w:right w:type="dxa" w:w="110"/>
            </w:tcMar>
          </w:tcPr>
          <w:p>
            <w:pPr>
              <w:spacing w:after="0"/>
            </w:pPr>
            <w:r>
              <w:rPr>
                <w:sz w:val="18"/>
                <w:szCs w:val="18"/>
              </w:rPr>
              <w:t xml:space="preserve">Tablas con excepción documentada</w:t>
            </w:r>
          </w:p>
        </w:tc>
        <w:tc>
          <w:tcPr>
            <w:tcW w:type="dxa" w:w="4826"/>
            <w:tcMar>
              <w:top w:type="dxa" w:w="80"/>
              <w:left w:type="dxa" w:w="110"/>
              <w:bottom w:type="dxa" w:w="80"/>
              <w:right w:type="dxa" w:w="110"/>
            </w:tcMar>
          </w:tcPr>
          <w:p>
            <w:pPr>
              <w:spacing w:after="0"/>
            </w:pPr>
            <w:r>
              <w:rPr>
                <w:sz w:val="18"/>
                <w:szCs w:val="18"/>
              </w:rPr>
              <w:t xml:space="preserve">6</w:t>
            </w:r>
          </w:p>
        </w:tc>
      </w:tr>
    </w:tbl>
    <w:p>
      <w:pPr>
        <w:pStyle w:val="Heading1"/>
        <w:spacing w:after="160" w:before="320"/>
      </w:pPr>
      <w:r>
        <w:rPr>
          <w:b/>
          <w:bCs/>
          <w:color w:val="1B4965"/>
          <w:sz w:val="30"/>
          <w:szCs w:val="30"/>
        </w:rPr>
        <w:t xml:space="preserve">2. Hallazgos de esta revisión</w:t>
      </w:r>
    </w:p>
    <w:p>
      <w:pPr>
        <w:spacing w:after="120" w:before="0" w:line="276"/>
      </w:pPr>
      <w:r>
        <w:rPr>
          <w:color w:val="1A1A1A"/>
          <w:sz w:val="21"/>
          <w:szCs w:val="21"/>
        </w:rPr>
        <w:t xml:space="preserve">A las 15 correcciones de la versión anterior, que siguen vigentes, se suman cinco hallazgos nuevos que aparecieron al revisar los bloques 5 a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1950"/>
        <w:gridCol w:w="4450"/>
        <w:gridCol w:w="2176"/>
      </w:tblGrid>
      <w:tr>
        <w:trPr>
          <w:tblHeader/>
        </w:trPr>
        <w:tc>
          <w:tcPr>
            <w:tcW w:type="dxa" w:w="450"/>
            <w:shd w:fill="1B4965" w:val="clear"/>
            <w:tcMar>
              <w:top w:type="dxa" w:w="90"/>
              <w:left w:type="dxa" w:w="110"/>
              <w:bottom w:type="dxa" w:w="90"/>
              <w:right w:type="dxa" w:w="110"/>
            </w:tcMar>
          </w:tcPr>
          <w:p>
            <w:pPr>
              <w:spacing w:after="0"/>
            </w:pPr>
            <w:r>
              <w:rPr>
                <w:b/>
                <w:bCs/>
                <w:color w:val="FFFFFF"/>
                <w:sz w:val="19"/>
                <w:szCs w:val="19"/>
              </w:rPr>
              <w:t xml:space="preserve">#</w:t>
            </w:r>
          </w:p>
        </w:tc>
        <w:tc>
          <w:tcPr>
            <w:tcW w:type="dxa" w:w="1950"/>
            <w:shd w:fill="1B4965" w:val="clear"/>
            <w:tcMar>
              <w:top w:type="dxa" w:w="90"/>
              <w:left w:type="dxa" w:w="110"/>
              <w:bottom w:type="dxa" w:w="90"/>
              <w:right w:type="dxa" w:w="110"/>
            </w:tcMar>
          </w:tcPr>
          <w:p>
            <w:pPr>
              <w:spacing w:after="0"/>
            </w:pPr>
            <w:r>
              <w:rPr>
                <w:b/>
                <w:bCs/>
                <w:color w:val="FFFFFF"/>
                <w:sz w:val="19"/>
                <w:szCs w:val="19"/>
              </w:rPr>
              <w:t xml:space="preserve">Tabla</w:t>
            </w:r>
          </w:p>
        </w:tc>
        <w:tc>
          <w:tcPr>
            <w:tcW w:type="dxa" w:w="4450"/>
            <w:shd w:fill="1B4965" w:val="clear"/>
            <w:tcMar>
              <w:top w:type="dxa" w:w="90"/>
              <w:left w:type="dxa" w:w="110"/>
              <w:bottom w:type="dxa" w:w="90"/>
              <w:right w:type="dxa" w:w="110"/>
            </w:tcMar>
          </w:tcPr>
          <w:p>
            <w:pPr>
              <w:spacing w:after="0"/>
            </w:pPr>
            <w:r>
              <w:rPr>
                <w:b/>
                <w:bCs/>
                <w:color w:val="FFFFFF"/>
                <w:sz w:val="19"/>
                <w:szCs w:val="19"/>
              </w:rPr>
              <w:t xml:space="preserve">Problema</w:t>
            </w:r>
          </w:p>
        </w:tc>
        <w:tc>
          <w:tcPr>
            <w:tcW w:type="dxa" w:w="2176"/>
            <w:shd w:fill="1B4965" w:val="clear"/>
            <w:tcMar>
              <w:top w:type="dxa" w:w="90"/>
              <w:left w:type="dxa" w:w="110"/>
              <w:bottom w:type="dxa" w:w="90"/>
              <w:right w:type="dxa" w:w="110"/>
            </w:tcMar>
          </w:tcPr>
          <w:p>
            <w:pPr>
              <w:spacing w:after="0"/>
            </w:pPr>
            <w:r>
              <w:rPr>
                <w:b/>
                <w:bCs/>
                <w:color w:val="FFFFFF"/>
                <w:sz w:val="19"/>
                <w:szCs w:val="19"/>
              </w:rPr>
              <w:t xml:space="preserve">Estado</w:t>
            </w:r>
          </w:p>
        </w:tc>
      </w:tr>
      <w:tr>
        <w:tc>
          <w:tcPr>
            <w:tcW w:type="dxa" w:w="450"/>
            <w:tcMar>
              <w:top w:type="dxa" w:w="80"/>
              <w:left w:type="dxa" w:w="110"/>
              <w:bottom w:type="dxa" w:w="80"/>
              <w:right w:type="dxa" w:w="110"/>
            </w:tcMar>
          </w:tcPr>
          <w:p>
            <w:pPr>
              <w:spacing w:after="0"/>
            </w:pPr>
            <w:r>
              <w:rPr>
                <w:sz w:val="18"/>
                <w:szCs w:val="18"/>
              </w:rPr>
              <w:t xml:space="preserve">16</w:t>
            </w:r>
          </w:p>
        </w:tc>
        <w:tc>
          <w:tcPr>
            <w:tcW w:type="dxa" w:w="1950"/>
            <w:tcMar>
              <w:top w:type="dxa" w:w="80"/>
              <w:left w:type="dxa" w:w="110"/>
              <w:bottom w:type="dxa" w:w="80"/>
              <w:right w:type="dxa" w:w="110"/>
            </w:tcMar>
          </w:tcPr>
          <w:p>
            <w:pPr>
              <w:spacing w:after="0"/>
            </w:pPr>
            <w:r>
              <w:rPr>
                <w:rFonts w:ascii="Courier New" w:cs="Courier New" w:eastAsia="Courier New" w:hAnsi="Courier New"/>
                <w:sz w:val="18"/>
                <w:szCs w:val="18"/>
              </w:rPr>
              <w:t xml:space="preserve">plan_limits</w:t>
            </w:r>
          </w:p>
        </w:tc>
        <w:tc>
          <w:tcPr>
            <w:tcW w:type="dxa" w:w="4450"/>
            <w:tcMar>
              <w:top w:type="dxa" w:w="80"/>
              <w:left w:type="dxa" w:w="110"/>
              <w:bottom w:type="dxa" w:w="80"/>
              <w:right w:type="dxa" w:w="110"/>
            </w:tcMar>
          </w:tcPr>
          <w:p>
            <w:pPr>
              <w:spacing w:after="0"/>
            </w:pPr>
            <w:r>
              <w:rPr>
                <w:sz w:val="18"/>
                <w:szCs w:val="18"/>
              </w:rPr>
              <w:t xml:space="preserve">La columna unit dependía solo de limit_key y no de la clave completa (plan_id, limit_key). Dependencia parcial, 2FN.</w:t>
            </w:r>
          </w:p>
        </w:tc>
        <w:tc>
          <w:tcPr>
            <w:tcW w:type="dxa" w:w="2176"/>
            <w:tcMar>
              <w:top w:type="dxa" w:w="80"/>
              <w:left w:type="dxa" w:w="110"/>
              <w:bottom w:type="dxa" w:w="80"/>
              <w:right w:type="dxa" w:w="110"/>
            </w:tcMar>
          </w:tcPr>
          <w:p>
            <w:pPr>
              <w:spacing w:after="0"/>
            </w:pPr>
            <w:r>
              <w:rPr>
                <w:sz w:val="18"/>
                <w:szCs w:val="18"/>
              </w:rPr>
              <w:t xml:space="preserve">Corregido, catálogo limit_keys</w:t>
            </w:r>
          </w:p>
        </w:tc>
      </w:tr>
      <w:tr>
        <w:tc>
          <w:tcPr>
            <w:tcW w:type="dxa" w:w="450"/>
            <w:shd w:fill="F2F5F7" w:val="clear"/>
            <w:tcMar>
              <w:top w:type="dxa" w:w="80"/>
              <w:left w:type="dxa" w:w="110"/>
              <w:bottom w:type="dxa" w:w="80"/>
              <w:right w:type="dxa" w:w="110"/>
            </w:tcMar>
          </w:tcPr>
          <w:p>
            <w:pPr>
              <w:spacing w:after="0"/>
            </w:pPr>
            <w:r>
              <w:rPr>
                <w:sz w:val="18"/>
                <w:szCs w:val="18"/>
              </w:rPr>
              <w:t xml:space="preserve">17</w:t>
            </w:r>
          </w:p>
        </w:tc>
        <w:tc>
          <w:tcPr>
            <w:tcW w:type="dxa" w:w="1950"/>
            <w:shd w:fill="F2F5F7" w:val="clear"/>
            <w:tcMar>
              <w:top w:type="dxa" w:w="80"/>
              <w:left w:type="dxa" w:w="110"/>
              <w:bottom w:type="dxa" w:w="80"/>
              <w:right w:type="dxa" w:w="110"/>
            </w:tcMar>
          </w:tcPr>
          <w:p>
            <w:pPr>
              <w:spacing w:after="0"/>
            </w:pPr>
            <w:r>
              <w:rPr>
                <w:rFonts w:ascii="Courier New" w:cs="Courier New" w:eastAsia="Courier New" w:hAnsi="Courier New"/>
                <w:sz w:val="18"/>
                <w:szCs w:val="18"/>
              </w:rPr>
              <w:t xml:space="preserve">subscriptions</w:t>
            </w:r>
          </w:p>
        </w:tc>
        <w:tc>
          <w:tcPr>
            <w:tcW w:type="dxa" w:w="4450"/>
            <w:shd w:fill="F2F5F7" w:val="clear"/>
            <w:tcMar>
              <w:top w:type="dxa" w:w="80"/>
              <w:left w:type="dxa" w:w="110"/>
              <w:bottom w:type="dxa" w:w="80"/>
              <w:right w:type="dxa" w:w="110"/>
            </w:tcMar>
          </w:tcPr>
          <w:p>
            <w:pPr>
              <w:spacing w:after="0"/>
            </w:pPr>
            <w:r>
              <w:rPr>
                <w:sz w:val="18"/>
                <w:szCs w:val="18"/>
              </w:rPr>
              <w:t xml:space="preserve">Convivían plan como texto y plan_id apuntando al catálogo. El texto se deduce de plans.code, o sea depende de un atributo no clave. Dependencia transitiva, 3FN.</w:t>
            </w:r>
          </w:p>
        </w:tc>
        <w:tc>
          <w:tcPr>
            <w:tcW w:type="dxa" w:w="2176"/>
            <w:shd w:fill="F2F5F7" w:val="clear"/>
            <w:tcMar>
              <w:top w:type="dxa" w:w="80"/>
              <w:left w:type="dxa" w:w="110"/>
              <w:bottom w:type="dxa" w:w="80"/>
              <w:right w:type="dxa" w:w="110"/>
            </w:tcMar>
          </w:tcPr>
          <w:p>
            <w:pPr>
              <w:spacing w:after="0"/>
            </w:pPr>
            <w:r>
              <w:rPr>
                <w:sz w:val="18"/>
                <w:szCs w:val="18"/>
              </w:rPr>
              <w:t xml:space="preserve">Corregido, columna eliminada</w:t>
            </w:r>
          </w:p>
        </w:tc>
      </w:tr>
      <w:tr>
        <w:tc>
          <w:tcPr>
            <w:tcW w:type="dxa" w:w="450"/>
            <w:tcMar>
              <w:top w:type="dxa" w:w="80"/>
              <w:left w:type="dxa" w:w="110"/>
              <w:bottom w:type="dxa" w:w="80"/>
              <w:right w:type="dxa" w:w="110"/>
            </w:tcMar>
          </w:tcPr>
          <w:p>
            <w:pPr>
              <w:spacing w:after="0"/>
            </w:pPr>
            <w:r>
              <w:rPr>
                <w:sz w:val="18"/>
                <w:szCs w:val="18"/>
              </w:rPr>
              <w:t xml:space="preserve">18</w:t>
            </w:r>
          </w:p>
        </w:tc>
        <w:tc>
          <w:tcPr>
            <w:tcW w:type="dxa" w:w="1950"/>
            <w:tcMar>
              <w:top w:type="dxa" w:w="80"/>
              <w:left w:type="dxa" w:w="110"/>
              <w:bottom w:type="dxa" w:w="80"/>
              <w:right w:type="dxa" w:w="110"/>
            </w:tcMar>
          </w:tcPr>
          <w:p>
            <w:pPr>
              <w:spacing w:after="0"/>
            </w:pPr>
            <w:r>
              <w:rPr>
                <w:rFonts w:ascii="Courier New" w:cs="Courier New" w:eastAsia="Courier New" w:hAnsi="Courier New"/>
                <w:sz w:val="18"/>
                <w:szCs w:val="18"/>
              </w:rPr>
              <w:t xml:space="preserve">patients</w:t>
            </w:r>
          </w:p>
        </w:tc>
        <w:tc>
          <w:tcPr>
            <w:tcW w:type="dxa" w:w="4450"/>
            <w:tcMar>
              <w:top w:type="dxa" w:w="80"/>
              <w:left w:type="dxa" w:w="110"/>
              <w:bottom w:type="dxa" w:w="80"/>
              <w:right w:type="dxa" w:w="110"/>
            </w:tcMar>
          </w:tcPr>
          <w:p>
            <w:pPr>
              <w:spacing w:after="0"/>
            </w:pPr>
            <w:r>
              <w:rPr>
                <w:sz w:val="18"/>
                <w:szCs w:val="18"/>
              </w:rPr>
              <w:t xml:space="preserve">rut_dv se derivaba de rut_number pero nada lo verificaba. El dato de demostración traía un dígito inválido y no había forma de detectarlo.</w:t>
            </w:r>
          </w:p>
        </w:tc>
        <w:tc>
          <w:tcPr>
            <w:tcW w:type="dxa" w:w="2176"/>
            <w:tcMar>
              <w:top w:type="dxa" w:w="80"/>
              <w:left w:type="dxa" w:w="110"/>
              <w:bottom w:type="dxa" w:w="80"/>
              <w:right w:type="dxa" w:w="110"/>
            </w:tcMar>
          </w:tcPr>
          <w:p>
            <w:pPr>
              <w:spacing w:after="0"/>
            </w:pPr>
            <w:r>
              <w:rPr>
                <w:sz w:val="18"/>
                <w:szCs w:val="18"/>
              </w:rPr>
              <w:t xml:space="preserve">Corregido, CHECK contra función inmutable</w:t>
            </w:r>
          </w:p>
        </w:tc>
      </w:tr>
      <w:tr>
        <w:tc>
          <w:tcPr>
            <w:tcW w:type="dxa" w:w="450"/>
            <w:shd w:fill="F2F5F7" w:val="clear"/>
            <w:tcMar>
              <w:top w:type="dxa" w:w="80"/>
              <w:left w:type="dxa" w:w="110"/>
              <w:bottom w:type="dxa" w:w="80"/>
              <w:right w:type="dxa" w:w="110"/>
            </w:tcMar>
          </w:tcPr>
          <w:p>
            <w:pPr>
              <w:spacing w:after="0"/>
            </w:pPr>
            <w:r>
              <w:rPr>
                <w:sz w:val="18"/>
                <w:szCs w:val="18"/>
              </w:rPr>
              <w:t xml:space="preserve">19</w:t>
            </w:r>
          </w:p>
        </w:tc>
        <w:tc>
          <w:tcPr>
            <w:tcW w:type="dxa" w:w="1950"/>
            <w:shd w:fill="F2F5F7" w:val="clear"/>
            <w:tcMar>
              <w:top w:type="dxa" w:w="80"/>
              <w:left w:type="dxa" w:w="110"/>
              <w:bottom w:type="dxa" w:w="80"/>
              <w:right w:type="dxa" w:w="110"/>
            </w:tcMar>
          </w:tcPr>
          <w:p>
            <w:pPr>
              <w:spacing w:after="0"/>
            </w:pPr>
            <w:r>
              <w:rPr>
                <w:rFonts w:ascii="Courier New" w:cs="Courier New" w:eastAsia="Courier New" w:hAnsi="Courier New"/>
                <w:sz w:val="18"/>
                <w:szCs w:val="18"/>
              </w:rPr>
              <w:t xml:space="preserve">wellbeing_snapshots</w:t>
            </w:r>
          </w:p>
        </w:tc>
        <w:tc>
          <w:tcPr>
            <w:tcW w:type="dxa" w:w="4450"/>
            <w:shd w:fill="F2F5F7" w:val="clear"/>
            <w:tcMar>
              <w:top w:type="dxa" w:w="80"/>
              <w:left w:type="dxa" w:w="110"/>
              <w:bottom w:type="dxa" w:w="80"/>
              <w:right w:type="dxa" w:w="110"/>
            </w:tcMar>
          </w:tcPr>
          <w:p>
            <w:pPr>
              <w:spacing w:after="0"/>
            </w:pPr>
            <w:r>
              <w:rPr>
                <w:sz w:val="18"/>
                <w:szCs w:val="18"/>
              </w:rPr>
              <w:t xml:space="preserve">reasons es una lista homogénea en jsonb, la misma forma que tenía patients.conditions antes de normalizarse.</w:t>
            </w:r>
          </w:p>
        </w:tc>
        <w:tc>
          <w:tcPr>
            <w:tcW w:type="dxa" w:w="2176"/>
            <w:shd w:fill="F2F5F7" w:val="clear"/>
            <w:tcMar>
              <w:top w:type="dxa" w:w="80"/>
              <w:left w:type="dxa" w:w="110"/>
              <w:bottom w:type="dxa" w:w="80"/>
              <w:right w:type="dxa" w:w="110"/>
            </w:tcMar>
          </w:tcPr>
          <w:p>
            <w:pPr>
              <w:spacing w:after="0"/>
            </w:pPr>
            <w:r>
              <w:rPr>
                <w:sz w:val="18"/>
                <w:szCs w:val="18"/>
              </w:rPr>
              <w:t xml:space="preserve">Documentado como excepción a 1FN</w:t>
            </w:r>
          </w:p>
        </w:tc>
      </w:tr>
      <w:tr>
        <w:tc>
          <w:tcPr>
            <w:tcW w:type="dxa" w:w="450"/>
            <w:tcMar>
              <w:top w:type="dxa" w:w="80"/>
              <w:left w:type="dxa" w:w="110"/>
              <w:bottom w:type="dxa" w:w="80"/>
              <w:right w:type="dxa" w:w="110"/>
            </w:tcMar>
          </w:tcPr>
          <w:p>
            <w:pPr>
              <w:spacing w:after="0"/>
            </w:pPr>
            <w:r>
              <w:rPr>
                <w:sz w:val="18"/>
                <w:szCs w:val="18"/>
              </w:rPr>
              <w:t xml:space="preserve">20</w:t>
            </w:r>
          </w:p>
        </w:tc>
        <w:tc>
          <w:tcPr>
            <w:tcW w:type="dxa" w:w="1950"/>
            <w:tcMar>
              <w:top w:type="dxa" w:w="80"/>
              <w:left w:type="dxa" w:w="110"/>
              <w:bottom w:type="dxa" w:w="80"/>
              <w:right w:type="dxa" w:w="110"/>
            </w:tcMar>
          </w:tcPr>
          <w:p>
            <w:pPr>
              <w:spacing w:after="0"/>
            </w:pPr>
            <w:r>
              <w:rPr>
                <w:rFonts w:ascii="Courier New" w:cs="Courier New" w:eastAsia="Courier New" w:hAnsi="Courier New"/>
                <w:sz w:val="18"/>
                <w:szCs w:val="18"/>
              </w:rPr>
              <w:t xml:space="preserve">files</w:t>
            </w:r>
          </w:p>
        </w:tc>
        <w:tc>
          <w:tcPr>
            <w:tcW w:type="dxa" w:w="4450"/>
            <w:tcMar>
              <w:top w:type="dxa" w:w="80"/>
              <w:left w:type="dxa" w:w="110"/>
              <w:bottom w:type="dxa" w:w="80"/>
              <w:right w:type="dxa" w:w="110"/>
            </w:tcMar>
          </w:tcPr>
          <w:p>
            <w:pPr>
              <w:spacing w:after="0"/>
            </w:pPr>
            <w:r>
              <w:rPr>
                <w:sz w:val="18"/>
                <w:szCs w:val="18"/>
              </w:rPr>
              <w:t xml:space="preserve">patient_id obligatorio impedía que existieran archivos que no pertenecen a ningún expediente, como el catálogo de contenido o el certificado de una cuidadora.</w:t>
            </w:r>
          </w:p>
        </w:tc>
        <w:tc>
          <w:tcPr>
            <w:tcW w:type="dxa" w:w="2176"/>
            <w:tcMar>
              <w:top w:type="dxa" w:w="80"/>
              <w:left w:type="dxa" w:w="110"/>
              <w:bottom w:type="dxa" w:w="80"/>
              <w:right w:type="dxa" w:w="110"/>
            </w:tcMar>
          </w:tcPr>
          <w:p>
            <w:pPr>
              <w:spacing w:after="0"/>
            </w:pPr>
            <w:r>
              <w:rPr>
                <w:sz w:val="18"/>
                <w:szCs w:val="18"/>
              </w:rPr>
              <w:t xml:space="preserve">Corregido, ámbito de archivo</w:t>
            </w:r>
          </w:p>
        </w:tc>
      </w:tr>
    </w:tbl>
    <w:p>
      <w:pPr>
        <w:spacing w:after="120" w:before="140" w:line="276"/>
      </w:pPr>
      <w:r>
        <w:rPr>
          <w:b/>
          <w:bCs/>
          <w:color w:val="1A1A1A"/>
          <w:sz w:val="21"/>
          <w:szCs w:val="21"/>
        </w:rPr>
        <w:t xml:space="preserve">Total acumulado: 20 hallazgos, 16 corregidos estructuralmente y 4 documentados como excepción.</w:t>
      </w:r>
    </w:p>
    <w:p>
      <w:pPr>
        <w:pStyle w:val="Heading1"/>
        <w:spacing w:after="160" w:before="320"/>
      </w:pPr>
      <w:r>
        <w:rPr>
          <w:b/>
          <w:bCs/>
          <w:color w:val="1B4965"/>
          <w:sz w:val="30"/>
          <w:szCs w:val="30"/>
        </w:rPr>
        <w:t xml:space="preserve">3. Correcciones estructurales de esta versión</w:t>
      </w:r>
    </w:p>
    <w:p>
      <w:pPr>
        <w:pStyle w:val="Heading2"/>
        <w:spacing w:after="120" w:before="260"/>
      </w:pPr>
      <w:r>
        <w:rPr>
          <w:b/>
          <w:bCs/>
          <w:color w:val="1B4965"/>
          <w:sz w:val="24"/>
          <w:szCs w:val="24"/>
        </w:rPr>
        <w:t xml:space="preserve">16. plan_limits y el catálogo limit_keys (2FN)</w:t>
      </w:r>
    </w:p>
    <w:p>
      <w:pPr>
        <w:spacing w:after="120" w:before="0" w:line="276"/>
      </w:pPr>
      <w:r>
        <w:rPr>
          <w:color w:val="1A1A1A"/>
          <w:sz w:val="21"/>
          <w:szCs w:val="21"/>
        </w:rPr>
        <w:t xml:space="preserve">plan_limits tiene clave primaria compuesta (plan_id, limit_key). La columna unit no dependía de esa clave completa: max_patients se mide en count sea cual sea el plan, y history_days en days siempre. El síntoma práctico es que con tres planes la unidad de un mismo límite quedaba escrita tres veces, y nada impedía que una dijera count y otra days.</w:t>
      </w:r>
    </w:p>
    <w:p>
      <w:pPr>
        <w:shd w:fill="F2F5F7" w:val="clear"/>
        <w:spacing w:after="0" w:before="100" w:line="240"/>
        <w:ind w:left="340"/>
      </w:pPr>
      <w:r>
        <w:rPr>
          <w:rFonts w:ascii="Courier New" w:cs="Courier New" w:eastAsia="Courier New" w:hAnsi="Courier New"/>
          <w:color w:val="1A1A1A"/>
          <w:sz w:val="17"/>
          <w:szCs w:val="17"/>
        </w:rPr>
        <w:t xml:space="preserve">CREATE TABLE limit_keys (</w:t>
      </w:r>
    </w:p>
    <w:p>
      <w:pPr>
        <w:shd w:fill="F2F5F7" w:val="clear"/>
        <w:spacing w:after="0" w:before="0" w:line="240"/>
        <w:ind w:left="340"/>
      </w:pPr>
      <w:r>
        <w:rPr>
          <w:rFonts w:ascii="Courier New" w:cs="Courier New" w:eastAsia="Courier New" w:hAnsi="Courier New"/>
          <w:color w:val="1A1A1A"/>
          <w:sz w:val="17"/>
          <w:szCs w:val="17"/>
        </w:rPr>
        <w:t xml:space="preserve">    key         varchar(40)  PRIMARY KEY,</w:t>
      </w:r>
    </w:p>
    <w:p>
      <w:pPr>
        <w:shd w:fill="F2F5F7" w:val="clear"/>
        <w:spacing w:after="0" w:before="0" w:line="240"/>
        <w:ind w:left="340"/>
      </w:pPr>
      <w:r>
        <w:rPr>
          <w:rFonts w:ascii="Courier New" w:cs="Courier New" w:eastAsia="Courier New" w:hAnsi="Courier New"/>
          <w:color w:val="1A1A1A"/>
          <w:sz w:val="17"/>
          <w:szCs w:val="17"/>
        </w:rPr>
        <w:t xml:space="preserve">    label       varchar(80)  NOT NULL,</w:t>
      </w:r>
    </w:p>
    <w:p>
      <w:pPr>
        <w:shd w:fill="F2F5F7" w:val="clear"/>
        <w:spacing w:after="0" w:before="0" w:line="240"/>
        <w:ind w:left="340"/>
      </w:pPr>
      <w:r>
        <w:rPr>
          <w:rFonts w:ascii="Courier New" w:cs="Courier New" w:eastAsia="Courier New" w:hAnsi="Courier New"/>
          <w:color w:val="1A1A1A"/>
          <w:sz w:val="17"/>
          <w:szCs w:val="17"/>
        </w:rPr>
        <w:t xml:space="preserve">    description varchar(300) NOT NULL,</w:t>
      </w:r>
    </w:p>
    <w:p>
      <w:pPr>
        <w:shd w:fill="F2F5F7" w:val="clear"/>
        <w:spacing w:after="0" w:before="0" w:line="240"/>
        <w:ind w:left="340"/>
      </w:pPr>
      <w:r>
        <w:rPr>
          <w:rFonts w:ascii="Courier New" w:cs="Courier New" w:eastAsia="Courier New" w:hAnsi="Courier New"/>
          <w:color w:val="1A1A1A"/>
          <w:sz w:val="17"/>
          <w:szCs w:val="17"/>
        </w:rPr>
        <w:t xml:space="preserve">    unit        varchar(20)  NOT NULL</w:t>
      </w:r>
    </w:p>
    <w:p>
      <w:pPr>
        <w:shd w:fill="F2F5F7" w:val="clear"/>
        <w:spacing w:after="0" w:before="0" w:line="240"/>
        <w:ind w:left="340"/>
      </w:pPr>
      <w:r>
        <w:rPr>
          <w:rFonts w:ascii="Courier New" w:cs="Courier New" w:eastAsia="Courier New" w:hAnsi="Courier New"/>
          <w:color w:val="1A1A1A"/>
          <w:sz w:val="17"/>
          <w:szCs w:val="17"/>
        </w:rPr>
        <w:t xml:space="preserve">);</w:t>
      </w:r>
    </w:p>
    <w:p>
      <w:pPr>
        <w:shd w:fill="F2F5F7" w:val="clear"/>
        <w:spacing w:after="0" w:before="0" w:line="240"/>
        <w:ind w:left="340"/>
      </w:pPr>
      <w:r>
        <w:rPr>
          <w:rFonts w:ascii="Courier New" w:cs="Courier New" w:eastAsia="Courier New" w:hAnsi="Courier New"/>
          <w:color w:val="1A1A1A"/>
          <w:sz w:val="17"/>
          <w:szCs w:val="17"/>
        </w:rPr>
        <w:t xml:space="preserve"> </w:t>
      </w:r>
    </w:p>
    <w:p>
      <w:pPr>
        <w:shd w:fill="F2F5F7" w:val="clear"/>
        <w:spacing w:after="0" w:before="0" w:line="240"/>
        <w:ind w:left="340"/>
      </w:pPr>
      <w:r>
        <w:rPr>
          <w:rFonts w:ascii="Courier New" w:cs="Courier New" w:eastAsia="Courier New" w:hAnsi="Courier New"/>
          <w:color w:val="1A1A1A"/>
          <w:sz w:val="17"/>
          <w:szCs w:val="17"/>
        </w:rPr>
        <w:t xml:space="preserve">ALTER TABLE plan_limits ADD CONSTRAINT fk_plan_limits_key</w:t>
      </w:r>
    </w:p>
    <w:p>
      <w:pPr>
        <w:shd w:fill="F2F5F7" w:val="clear"/>
        <w:spacing w:after="0" w:before="0" w:line="240"/>
        <w:ind w:left="340"/>
      </w:pPr>
      <w:r>
        <w:rPr>
          <w:rFonts w:ascii="Courier New" w:cs="Courier New" w:eastAsia="Courier New" w:hAnsi="Courier New"/>
          <w:color w:val="1A1A1A"/>
          <w:sz w:val="17"/>
          <w:szCs w:val="17"/>
        </w:rPr>
        <w:t xml:space="preserve">    FOREIGN KEY (limit_key) REFERENCES limit_keys(key) ON DELETE RESTRICT;</w:t>
      </w:r>
    </w:p>
    <w:p>
      <w:pPr>
        <w:shd w:fill="F2F5F7" w:val="clear"/>
        <w:spacing w:after="140" w:before="0" w:line="240"/>
        <w:ind w:left="340"/>
      </w:pPr>
      <w:r>
        <w:rPr>
          <w:rFonts w:ascii="Courier New" w:cs="Courier New" w:eastAsia="Courier New" w:hAnsi="Courier New"/>
          <w:color w:val="1A1A1A"/>
          <w:sz w:val="17"/>
          <w:szCs w:val="17"/>
        </w:rPr>
        <w:t xml:space="preserve">ALTER TABLE plan_limits DROP COLUMN unit;</w:t>
      </w:r>
    </w:p>
    <w:p>
      <w:pPr>
        <w:spacing w:after="120" w:before="0" w:line="276"/>
      </w:pPr>
      <w:r>
        <w:rPr>
          <w:color w:val="1A1A1A"/>
          <w:sz w:val="21"/>
          <w:szCs w:val="21"/>
        </w:rPr>
        <w:t xml:space="preserve">La unidad pasa al catálogo, donde sí depende de la clave completa. De paso plan_limits gana integridad referencial sobre el nombre del límite, que antes era solo un CHECK de formato.</w:t>
      </w:r>
    </w:p>
    <w:p>
      <w:pPr>
        <w:pStyle w:val="Heading2"/>
        <w:spacing w:after="120" w:before="260"/>
      </w:pPr>
      <w:r>
        <w:rPr>
          <w:b/>
          <w:bCs/>
          <w:color w:val="1B4965"/>
          <w:sz w:val="24"/>
          <w:szCs w:val="24"/>
        </w:rPr>
        <w:t xml:space="preserve">17. subscriptions sin la columna plan (3FN)</w:t>
      </w:r>
    </w:p>
    <w:p>
      <w:pPr>
        <w:spacing w:after="120" w:before="0" w:line="276"/>
      </w:pPr>
      <w:r>
        <w:rPr>
          <w:color w:val="1A1A1A"/>
          <w:sz w:val="21"/>
          <w:szCs w:val="21"/>
        </w:rPr>
        <w:t xml:space="preserve">subscriptions tenía dos columnas diciendo lo mismo: plan como varchar y plan_id apuntando al catálogo. El texto se obtiene siguiendo plan_id hasta plans.code, así que dependía de un atributo que no es clave. Dependencia transitiva de manual.</w:t>
      </w:r>
    </w:p>
    <w:p>
      <w:pPr>
        <w:spacing w:after="120" w:before="0" w:line="276"/>
      </w:pPr>
      <w:r>
        <w:rPr>
          <w:color w:val="1A1A1A"/>
          <w:sz w:val="21"/>
          <w:szCs w:val="21"/>
        </w:rPr>
        <w:t xml:space="preserve">La columna existía como puente mientras el bloque 7 no estaba construido. Antes de eliminarla se verificó que ningún archivo del backend la consulta.</w:t>
      </w:r>
    </w:p>
    <w:p>
      <w:pPr>
        <w:shd w:fill="F2F5F7" w:val="clear"/>
        <w:spacing w:after="0" w:before="100" w:line="240"/>
        <w:ind w:left="340"/>
      </w:pPr>
      <w:r>
        <w:rPr>
          <w:rFonts w:ascii="Courier New" w:cs="Courier New" w:eastAsia="Courier New" w:hAnsi="Courier New"/>
          <w:color w:val="1A1A1A"/>
          <w:sz w:val="17"/>
          <w:szCs w:val="17"/>
        </w:rPr>
        <w:t xml:space="preserve">UPDATE subscriptions s SET plan_id = p.id</w:t>
      </w:r>
    </w:p>
    <w:p>
      <w:pPr>
        <w:shd w:fill="F2F5F7" w:val="clear"/>
        <w:spacing w:after="0" w:before="0" w:line="240"/>
        <w:ind w:left="340"/>
      </w:pPr>
      <w:r>
        <w:rPr>
          <w:rFonts w:ascii="Courier New" w:cs="Courier New" w:eastAsia="Courier New" w:hAnsi="Courier New"/>
          <w:color w:val="1A1A1A"/>
          <w:sz w:val="17"/>
          <w:szCs w:val="17"/>
        </w:rPr>
        <w:t xml:space="preserve">  FROM plans p WHERE p.code = s.plan AND s.plan_id IS NULL;</w:t>
      </w:r>
    </w:p>
    <w:p>
      <w:pPr>
        <w:shd w:fill="F2F5F7" w:val="clear"/>
        <w:spacing w:after="140" w:before="0" w:line="240"/>
        <w:ind w:left="340"/>
      </w:pPr>
      <w:r>
        <w:rPr>
          <w:rFonts w:ascii="Courier New" w:cs="Courier New" w:eastAsia="Courier New" w:hAnsi="Courier New"/>
          <w:color w:val="1A1A1A"/>
          <w:sz w:val="17"/>
          <w:szCs w:val="17"/>
        </w:rPr>
        <w:t xml:space="preserve">ALTER TABLE subscriptions DROP COLUMN plan;</w:t>
      </w:r>
    </w:p>
    <w:p>
      <w:pPr>
        <w:pStyle w:val="Heading2"/>
        <w:spacing w:after="120" w:before="260"/>
      </w:pPr>
      <w:r>
        <w:rPr>
          <w:b/>
          <w:bCs/>
          <w:color w:val="1B4965"/>
          <w:sz w:val="24"/>
          <w:szCs w:val="24"/>
        </w:rPr>
        <w:t xml:space="preserve">18. patients.rut_dv deja de poder estar mal (3FN reforzada)</w:t>
      </w:r>
    </w:p>
    <w:p>
      <w:pPr>
        <w:spacing w:after="120" w:before="0" w:line="276"/>
      </w:pPr>
      <w:r>
        <w:rPr>
          <w:color w:val="1A1A1A"/>
          <w:sz w:val="21"/>
          <w:szCs w:val="21"/>
        </w:rPr>
        <w:t xml:space="preserve">La versión anterior documentaba rut_dv como dato derivado y lo dejaba ahí. El problema es que documentar no impide nada: el único CHECK verificaba el formato, un dígito o la letra K, no que el dígito fuera el que corresponde.</w:t>
      </w:r>
    </w:p>
    <w:p>
      <w:pPr>
        <w:spacing w:after="120" w:before="0" w:line="276"/>
      </w:pPr>
      <w:r>
        <w:rPr>
          <w:color w:val="1A1A1A"/>
          <w:sz w:val="21"/>
          <w:szCs w:val="21"/>
        </w:rPr>
        <w:t xml:space="preserve">No era teórico. El paciente de demostración venía con 5.123.456-K y el dígito de ese número es el 1. Los datos con los que se probaba el sistema tenían un RUT inválido y nada podía detectarlo.</w:t>
      </w:r>
    </w:p>
    <w:p>
      <w:pPr>
        <w:shd w:fill="F2F5F7" w:val="clear"/>
        <w:spacing w:after="0" w:before="100" w:line="240"/>
        <w:ind w:left="340"/>
      </w:pPr>
      <w:r>
        <w:rPr>
          <w:rFonts w:ascii="Courier New" w:cs="Courier New" w:eastAsia="Courier New" w:hAnsi="Courier New"/>
          <w:color w:val="1A1A1A"/>
          <w:sz w:val="17"/>
          <w:szCs w:val="17"/>
        </w:rPr>
        <w:t xml:space="preserve">CREATE FUNCTION rut_digito_verificador(numero integer)</w:t>
      </w:r>
    </w:p>
    <w:p>
      <w:pPr>
        <w:shd w:fill="F2F5F7" w:val="clear"/>
        <w:spacing w:after="0" w:before="0" w:line="240"/>
        <w:ind w:left="340"/>
      </w:pPr>
      <w:r>
        <w:rPr>
          <w:rFonts w:ascii="Courier New" w:cs="Courier New" w:eastAsia="Courier New" w:hAnsi="Courier New"/>
          <w:color w:val="1A1A1A"/>
          <w:sz w:val="17"/>
          <w:szCs w:val="17"/>
        </w:rPr>
        <w:t xml:space="preserve">RETURNS char(1) IMMUTABLE AS $$ ... módulo 11 ... $$;</w:t>
      </w:r>
    </w:p>
    <w:p>
      <w:pPr>
        <w:shd w:fill="F2F5F7" w:val="clear"/>
        <w:spacing w:after="0" w:before="0" w:line="240"/>
        <w:ind w:left="340"/>
      </w:pPr>
      <w:r>
        <w:rPr>
          <w:rFonts w:ascii="Courier New" w:cs="Courier New" w:eastAsia="Courier New" w:hAnsi="Courier New"/>
          <w:color w:val="1A1A1A"/>
          <w:sz w:val="17"/>
          <w:szCs w:val="17"/>
        </w:rPr>
        <w:t xml:space="preserve"> </w:t>
      </w:r>
    </w:p>
    <w:p>
      <w:pPr>
        <w:shd w:fill="F2F5F7" w:val="clear"/>
        <w:spacing w:after="0" w:before="0" w:line="240"/>
        <w:ind w:left="340"/>
      </w:pPr>
      <w:r>
        <w:rPr>
          <w:rFonts w:ascii="Courier New" w:cs="Courier New" w:eastAsia="Courier New" w:hAnsi="Courier New"/>
          <w:color w:val="1A1A1A"/>
          <w:sz w:val="17"/>
          <w:szCs w:val="17"/>
        </w:rPr>
        <w:t xml:space="preserve">ALTER TABLE patients ADD CONSTRAINT ck_patients_rut_dv_correcto</w:t>
      </w:r>
    </w:p>
    <w:p>
      <w:pPr>
        <w:shd w:fill="F2F5F7" w:val="clear"/>
        <w:spacing w:after="0" w:before="0" w:line="240"/>
        <w:ind w:left="340"/>
      </w:pPr>
      <w:r>
        <w:rPr>
          <w:rFonts w:ascii="Courier New" w:cs="Courier New" w:eastAsia="Courier New" w:hAnsi="Courier New"/>
          <w:color w:val="1A1A1A"/>
          <w:sz w:val="17"/>
          <w:szCs w:val="17"/>
        </w:rPr>
        <w:t xml:space="preserve">    CHECK (rut_number IS NULL</w:t>
      </w:r>
    </w:p>
    <w:p>
      <w:pPr>
        <w:shd w:fill="F2F5F7" w:val="clear"/>
        <w:spacing w:after="140" w:before="0" w:line="240"/>
        <w:ind w:left="340"/>
      </w:pPr>
      <w:r>
        <w:rPr>
          <w:rFonts w:ascii="Courier New" w:cs="Courier New" w:eastAsia="Courier New" w:hAnsi="Courier New"/>
          <w:color w:val="1A1A1A"/>
          <w:sz w:val="17"/>
          <w:szCs w:val="17"/>
        </w:rPr>
        <w:t xml:space="preserve">        OR rut_dv = rut_digito_verificador(rut_number));</w:t>
      </w:r>
    </w:p>
    <w:p>
      <w:pPr>
        <w:spacing w:after="120" w:before="0" w:line="276"/>
      </w:pPr>
      <w:r>
        <w:rPr>
          <w:color w:val="1A1A1A"/>
          <w:sz w:val="21"/>
          <w:szCs w:val="21"/>
        </w:rPr>
        <w:t xml:space="preserve">La función es IMMUTABLE, que es lo que permite usarla dentro de un CHECK. El dato sigue almacenado, pero ahora el motor garantiza que sea consistente.</w:t>
      </w:r>
    </w:p>
    <w:p>
      <w:pPr>
        <w:pStyle w:val="Heading2"/>
        <w:spacing w:after="120" w:before="260"/>
      </w:pPr>
      <w:r>
        <w:rPr>
          <w:b/>
          <w:bCs/>
          <w:color w:val="1B4965"/>
          <w:sz w:val="24"/>
          <w:szCs w:val="24"/>
        </w:rPr>
        <w:t xml:space="preserve">20. files con ámbito, no solo del expediente</w:t>
      </w:r>
    </w:p>
    <w:p>
      <w:pPr>
        <w:spacing w:after="120" w:before="0" w:line="276"/>
      </w:pPr>
      <w:r>
        <w:rPr>
          <w:color w:val="1A1A1A"/>
          <w:sz w:val="21"/>
          <w:szCs w:val="21"/>
        </w:rPr>
        <w:t xml:space="preserve">files nació como los archivos del expediente de un paciente, con patient_id obligatorio. Al crecer el modelo aparecieron binarios que no pertenecen a ningún paciente: el catálogo de contenido del bloque 8 y los certificados de las cuidadoras del bloque 9. Con la regla anterior había que colgar un cuento del expediente de alguien al azar.</w:t>
      </w:r>
    </w:p>
    <w:p>
      <w:pPr>
        <w:shd w:fill="F2F5F7" w:val="clear"/>
        <w:spacing w:after="0" w:before="100" w:line="240"/>
        <w:ind w:left="340"/>
      </w:pPr>
      <w:r>
        <w:rPr>
          <w:rFonts w:ascii="Courier New" w:cs="Courier New" w:eastAsia="Courier New" w:hAnsi="Courier New"/>
          <w:color w:val="1A1A1A"/>
          <w:sz w:val="17"/>
          <w:szCs w:val="17"/>
        </w:rPr>
        <w:t xml:space="preserve">ALTER TABLE files ALTER COLUMN patient_id DROP NOT NULL;</w:t>
      </w:r>
    </w:p>
    <w:p>
      <w:pPr>
        <w:shd w:fill="F2F5F7" w:val="clear"/>
        <w:spacing w:after="0" w:before="0" w:line="240"/>
        <w:ind w:left="340"/>
      </w:pPr>
      <w:r>
        <w:rPr>
          <w:rFonts w:ascii="Courier New" w:cs="Courier New" w:eastAsia="Courier New" w:hAnsi="Courier New"/>
          <w:color w:val="1A1A1A"/>
          <w:sz w:val="17"/>
          <w:szCs w:val="17"/>
        </w:rPr>
        <w:t xml:space="preserve">ALTER TABLE files ADD COLUMN scope varchar(12) NOT NULL DEFAULT 'patient';</w:t>
      </w:r>
    </w:p>
    <w:p>
      <w:pPr>
        <w:shd w:fill="F2F5F7" w:val="clear"/>
        <w:spacing w:after="0" w:before="0" w:line="240"/>
        <w:ind w:left="340"/>
      </w:pPr>
      <w:r>
        <w:rPr>
          <w:rFonts w:ascii="Courier New" w:cs="Courier New" w:eastAsia="Courier New" w:hAnsi="Courier New"/>
          <w:color w:val="1A1A1A"/>
          <w:sz w:val="17"/>
          <w:szCs w:val="17"/>
        </w:rPr>
        <w:t xml:space="preserve"> </w:t>
      </w:r>
    </w:p>
    <w:p>
      <w:pPr>
        <w:shd w:fill="F2F5F7" w:val="clear"/>
        <w:spacing w:after="0" w:before="0" w:line="240"/>
        <w:ind w:left="340"/>
      </w:pPr>
      <w:r>
        <w:rPr>
          <w:rFonts w:ascii="Courier New" w:cs="Courier New" w:eastAsia="Courier New" w:hAnsi="Courier New"/>
          <w:color w:val="1A1A1A"/>
          <w:sz w:val="17"/>
          <w:szCs w:val="17"/>
        </w:rPr>
        <w:t xml:space="preserve">ALTER TABLE files ADD CONSTRAINT ck_files_scope_patient</w:t>
      </w:r>
    </w:p>
    <w:p>
      <w:pPr>
        <w:shd w:fill="F2F5F7" w:val="clear"/>
        <w:spacing w:after="140" w:before="0" w:line="240"/>
        <w:ind w:left="340"/>
      </w:pPr>
      <w:r>
        <w:rPr>
          <w:rFonts w:ascii="Courier New" w:cs="Courier New" w:eastAsia="Courier New" w:hAnsi="Courier New"/>
          <w:color w:val="1A1A1A"/>
          <w:sz w:val="17"/>
          <w:szCs w:val="17"/>
        </w:rPr>
        <w:t xml:space="preserve">    CHECK ((scope = 'patient') = (patient_id IS NOT NULL));</w:t>
      </w:r>
    </w:p>
    <w:p>
      <w:pPr>
        <w:spacing w:after="120" w:before="0" w:line="276"/>
      </w:pPr>
      <w:r>
        <w:rPr>
          <w:color w:val="1A1A1A"/>
          <w:sz w:val="21"/>
          <w:szCs w:val="21"/>
        </w:rPr>
        <w:t xml:space="preserve">Y no quedó como convención. content_items y caregiver_certifications referencian el archivo con clave foránea compuesta (file_id, file_scope), así que el motor impide que un ítem del catálogo apunte al archivo de un paciente.</w:t>
      </w:r>
    </w:p>
    <w:p>
      <w:r>
        <w:br w:type="page"/>
      </w:r>
    </w:p>
    <w:p>
      <w:pPr>
        <w:pStyle w:val="Heading1"/>
        <w:spacing w:after="160" w:before="320"/>
      </w:pPr>
      <w:r>
        <w:rPr>
          <w:b/>
          <w:bCs/>
          <w:color w:val="1B4965"/>
          <w:sz w:val="30"/>
          <w:szCs w:val="30"/>
        </w:rPr>
        <w:t xml:space="preserve">4. Las cuatro categorías de excepción</w:t>
      </w:r>
    </w:p>
    <w:p>
      <w:pPr>
        <w:spacing w:after="120" w:before="0" w:line="276"/>
      </w:pPr>
      <w:r>
        <w:rPr>
          <w:color w:val="1A1A1A"/>
          <w:sz w:val="21"/>
          <w:szCs w:val="21"/>
        </w:rPr>
        <w:t xml:space="preserve">Un modelo con excepciones sueltas parece un modelo inconsistente. Agrupadas en categorías con un criterio común, se vuelven decisiones. Estas son las cuatro y no hay ninguna fuera de ellas.</w:t>
      </w:r>
    </w:p>
    <w:p>
      <w:pPr>
        <w:pStyle w:val="Heading2"/>
        <w:spacing w:after="120" w:before="260"/>
      </w:pPr>
      <w:r>
        <w:rPr>
          <w:b/>
          <w:bCs/>
          <w:color w:val="1B4965"/>
          <w:sz w:val="24"/>
          <w:szCs w:val="24"/>
        </w:rPr>
        <w:t xml:space="preserve">A. Impuestas por el motor</w:t>
      </w:r>
    </w:p>
    <w:p>
      <w:pPr>
        <w:spacing w:after="120" w:before="0" w:line="276"/>
      </w:pPr>
      <w:r>
        <w:rPr>
          <w:color w:val="1A1A1A"/>
          <w:sz w:val="21"/>
          <w:szCs w:val="21"/>
        </w:rPr>
        <w:t xml:space="preserve">Tres tablas están particionadas por mes y PostgreSQL exige que la columna de particionado forme parte de la clave primaria. Eso crea una dependencia parcial que no es una decisión de diseño sino un requisito técnico: en el modelo relacional puro la clave sería solo 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4726"/>
      </w:tblGrid>
      <w:tr>
        <w:trPr>
          <w:tblHeader/>
        </w:trPr>
        <w:tc>
          <w:tcPr>
            <w:tcW w:type="dxa" w:w="2100"/>
            <w:shd w:fill="1B4965" w:val="clear"/>
            <w:tcMar>
              <w:top w:type="dxa" w:w="90"/>
              <w:left w:type="dxa" w:w="110"/>
              <w:bottom w:type="dxa" w:w="90"/>
              <w:right w:type="dxa" w:w="110"/>
            </w:tcMar>
          </w:tcPr>
          <w:p>
            <w:pPr>
              <w:spacing w:after="0"/>
            </w:pPr>
            <w:r>
              <w:rPr>
                <w:b/>
                <w:bCs/>
                <w:color w:val="FFFFFF"/>
                <w:sz w:val="19"/>
                <w:szCs w:val="19"/>
              </w:rPr>
              <w:t xml:space="preserve">Tabla</w:t>
            </w:r>
          </w:p>
        </w:tc>
        <w:tc>
          <w:tcPr>
            <w:tcW w:type="dxa" w:w="2200"/>
            <w:shd w:fill="1B4965" w:val="clear"/>
            <w:tcMar>
              <w:top w:type="dxa" w:w="90"/>
              <w:left w:type="dxa" w:w="110"/>
              <w:bottom w:type="dxa" w:w="90"/>
              <w:right w:type="dxa" w:w="110"/>
            </w:tcMar>
          </w:tcPr>
          <w:p>
            <w:pPr>
              <w:spacing w:after="0"/>
            </w:pPr>
            <w:r>
              <w:rPr>
                <w:b/>
                <w:bCs/>
                <w:color w:val="FFFFFF"/>
                <w:sz w:val="19"/>
                <w:szCs w:val="19"/>
              </w:rPr>
              <w:t xml:space="preserve">Clave primaria</w:t>
            </w:r>
          </w:p>
        </w:tc>
        <w:tc>
          <w:tcPr>
            <w:tcW w:type="dxa" w:w="4726"/>
            <w:shd w:fill="1B4965" w:val="clear"/>
            <w:tcMar>
              <w:top w:type="dxa" w:w="90"/>
              <w:left w:type="dxa" w:w="110"/>
              <w:bottom w:type="dxa" w:w="90"/>
              <w:right w:type="dxa" w:w="110"/>
            </w:tcMar>
          </w:tcPr>
          <w:p>
            <w:pPr>
              <w:spacing w:after="0"/>
            </w:pPr>
            <w:r>
              <w:rPr>
                <w:b/>
                <w:bCs/>
                <w:color w:val="FFFFFF"/>
                <w:sz w:val="19"/>
                <w:szCs w:val="19"/>
              </w:rPr>
              <w:t xml:space="preserve">Motivo del particionado</w:t>
            </w:r>
          </w:p>
        </w:tc>
      </w:tr>
      <w:tr>
        <w:tc>
          <w:tcPr>
            <w:tcW w:type="dxa" w:w="2100"/>
            <w:tcMar>
              <w:top w:type="dxa" w:w="80"/>
              <w:left w:type="dxa" w:w="110"/>
              <w:bottom w:type="dxa" w:w="80"/>
              <w:right w:type="dxa" w:w="110"/>
            </w:tcMar>
          </w:tcPr>
          <w:p>
            <w:pPr>
              <w:spacing w:after="0"/>
            </w:pPr>
            <w:r>
              <w:rPr>
                <w:rFonts w:ascii="Courier New" w:cs="Courier New" w:eastAsia="Courier New" w:hAnsi="Courier New"/>
                <w:sz w:val="18"/>
                <w:szCs w:val="18"/>
              </w:rPr>
              <w:t xml:space="preserve">vital_readings</w:t>
            </w:r>
          </w:p>
        </w:tc>
        <w:tc>
          <w:tcPr>
            <w:tcW w:type="dxa" w:w="2200"/>
            <w:tcMar>
              <w:top w:type="dxa" w:w="80"/>
              <w:left w:type="dxa" w:w="110"/>
              <w:bottom w:type="dxa" w:w="80"/>
              <w:right w:type="dxa" w:w="110"/>
            </w:tcMar>
          </w:tcPr>
          <w:p>
            <w:pPr>
              <w:spacing w:after="0"/>
            </w:pPr>
            <w:r>
              <w:rPr>
                <w:sz w:val="18"/>
                <w:szCs w:val="18"/>
              </w:rPr>
              <w:t xml:space="preserve">(id, measured_at)</w:t>
            </w:r>
          </w:p>
        </w:tc>
        <w:tc>
          <w:tcPr>
            <w:tcW w:type="dxa" w:w="4726"/>
            <w:tcMar>
              <w:top w:type="dxa" w:w="80"/>
              <w:left w:type="dxa" w:w="110"/>
              <w:bottom w:type="dxa" w:w="80"/>
              <w:right w:type="dxa" w:w="110"/>
            </w:tcMar>
          </w:tcPr>
          <w:p>
            <w:pPr>
              <w:spacing w:after="0"/>
            </w:pPr>
            <w:r>
              <w:rPr>
                <w:sz w:val="18"/>
                <w:szCs w:val="18"/>
              </w:rPr>
              <w:t xml:space="preserve">La tabla que más crece. RNF-07 la exige particionada.</w:t>
            </w:r>
          </w:p>
        </w:tc>
      </w:tr>
      <w:tr>
        <w:tc>
          <w:tcPr>
            <w:tcW w:type="dxa" w:w="2100"/>
            <w:shd w:fill="F2F5F7" w:val="clear"/>
            <w:tcMar>
              <w:top w:type="dxa" w:w="80"/>
              <w:left w:type="dxa" w:w="110"/>
              <w:bottom w:type="dxa" w:w="80"/>
              <w:right w:type="dxa" w:w="110"/>
            </w:tcMar>
          </w:tcPr>
          <w:p>
            <w:pPr>
              <w:spacing w:after="0"/>
            </w:pPr>
            <w:r>
              <w:rPr>
                <w:rFonts w:ascii="Courier New" w:cs="Courier New" w:eastAsia="Courier New" w:hAnsi="Courier New"/>
                <w:sz w:val="18"/>
                <w:szCs w:val="18"/>
              </w:rPr>
              <w:t xml:space="preserve">record_access_log</w:t>
            </w:r>
          </w:p>
        </w:tc>
        <w:tc>
          <w:tcPr>
            <w:tcW w:type="dxa" w:w="2200"/>
            <w:shd w:fill="F2F5F7" w:val="clear"/>
            <w:tcMar>
              <w:top w:type="dxa" w:w="80"/>
              <w:left w:type="dxa" w:w="110"/>
              <w:bottom w:type="dxa" w:w="80"/>
              <w:right w:type="dxa" w:w="110"/>
            </w:tcMar>
          </w:tcPr>
          <w:p>
            <w:pPr>
              <w:spacing w:after="0"/>
            </w:pPr>
            <w:r>
              <w:rPr>
                <w:sz w:val="18"/>
                <w:szCs w:val="18"/>
              </w:rPr>
              <w:t xml:space="preserve">(id, accessed_at)</w:t>
            </w:r>
          </w:p>
        </w:tc>
        <w:tc>
          <w:tcPr>
            <w:tcW w:type="dxa" w:w="4726"/>
            <w:shd w:fill="F2F5F7" w:val="clear"/>
            <w:tcMar>
              <w:top w:type="dxa" w:w="80"/>
              <w:left w:type="dxa" w:w="110"/>
              <w:bottom w:type="dxa" w:w="80"/>
              <w:right w:type="dxa" w:w="110"/>
            </w:tcMar>
          </w:tcPr>
          <w:p>
            <w:pPr>
              <w:spacing w:after="0"/>
            </w:pPr>
            <w:r>
              <w:rPr>
                <w:sz w:val="18"/>
                <w:szCs w:val="18"/>
              </w:rPr>
              <w:t xml:space="preserve">Una fila por cada consulta al expediente. Segundo mayor volumen.</w:t>
            </w:r>
          </w:p>
        </w:tc>
      </w:tr>
      <w:tr>
        <w:tc>
          <w:tcPr>
            <w:tcW w:type="dxa" w:w="2100"/>
            <w:tcMar>
              <w:top w:type="dxa" w:w="80"/>
              <w:left w:type="dxa" w:w="110"/>
              <w:bottom w:type="dxa" w:w="80"/>
              <w:right w:type="dxa" w:w="110"/>
            </w:tcMar>
          </w:tcPr>
          <w:p>
            <w:pPr>
              <w:spacing w:after="0"/>
            </w:pPr>
            <w:r>
              <w:rPr>
                <w:rFonts w:ascii="Courier New" w:cs="Courier New" w:eastAsia="Courier New" w:hAnsi="Courier New"/>
                <w:sz w:val="18"/>
                <w:szCs w:val="18"/>
              </w:rPr>
              <w:t xml:space="preserve">analytics_events</w:t>
            </w:r>
          </w:p>
        </w:tc>
        <w:tc>
          <w:tcPr>
            <w:tcW w:type="dxa" w:w="2200"/>
            <w:tcMar>
              <w:top w:type="dxa" w:w="80"/>
              <w:left w:type="dxa" w:w="110"/>
              <w:bottom w:type="dxa" w:w="80"/>
              <w:right w:type="dxa" w:w="110"/>
            </w:tcMar>
          </w:tcPr>
          <w:p>
            <w:pPr>
              <w:spacing w:after="0"/>
            </w:pPr>
            <w:r>
              <w:rPr>
                <w:sz w:val="18"/>
                <w:szCs w:val="18"/>
              </w:rPr>
              <w:t xml:space="preserve">(id, occurred_at)</w:t>
            </w:r>
          </w:p>
        </w:tc>
        <w:tc>
          <w:tcPr>
            <w:tcW w:type="dxa" w:w="4726"/>
            <w:tcMar>
              <w:top w:type="dxa" w:w="80"/>
              <w:left w:type="dxa" w:w="110"/>
              <w:bottom w:type="dxa" w:w="80"/>
              <w:right w:type="dxa" w:w="110"/>
            </w:tcMar>
          </w:tcPr>
          <w:p>
            <w:pPr>
              <w:spacing w:after="0"/>
            </w:pPr>
            <w:r>
              <w:rPr>
                <w:sz w:val="18"/>
                <w:szCs w:val="18"/>
              </w:rPr>
              <w:t xml:space="preserve">Flujo de hechos de toda la plataforma, para análisis a dos o tres años.</w:t>
            </w:r>
          </w:p>
        </w:tc>
      </w:tr>
    </w:tbl>
    <w:p>
      <w:pPr>
        <w:pStyle w:val="Heading2"/>
        <w:spacing w:after="120" w:before="260"/>
      </w:pPr>
      <w:r>
        <w:rPr>
          <w:b/>
          <w:bCs/>
          <w:color w:val="1B4965"/>
          <w:sz w:val="24"/>
          <w:szCs w:val="24"/>
        </w:rPr>
        <w:t xml:space="preserve">B. Derivados que el motor garantiza</w:t>
      </w:r>
    </w:p>
    <w:p>
      <w:pPr>
        <w:spacing w:after="120" w:before="0" w:line="276"/>
      </w:pPr>
      <w:r>
        <w:rPr>
          <w:color w:val="1A1A1A"/>
          <w:sz w:val="21"/>
          <w:szCs w:val="21"/>
        </w:rPr>
        <w:t xml:space="preserve">Son valores que se pueden calcular desde otros, o sea redundancia. La razón por la que no rompen nada es que ninguno se mantiene a mano: todos los sostiene el motor, así que no pueden desincronizarse del dato real, que es el único daño que hace violar 3FN.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shd w:fill="1B4965" w:val="clear"/>
            <w:tcMar>
              <w:top w:type="dxa" w:w="90"/>
              <w:left w:type="dxa" w:w="110"/>
              <w:bottom w:type="dxa" w:w="90"/>
              <w:right w:type="dxa" w:w="110"/>
            </w:tcMar>
          </w:tcPr>
          <w:p>
            <w:pPr>
              <w:spacing w:after="0"/>
            </w:pPr>
            <w:r>
              <w:rPr>
                <w:b/>
                <w:bCs/>
                <w:color w:val="FFFFFF"/>
                <w:sz w:val="19"/>
                <w:szCs w:val="19"/>
              </w:rPr>
              <w:t xml:space="preserve">Valor derivado</w:t>
            </w:r>
          </w:p>
        </w:tc>
        <w:tc>
          <w:tcPr>
            <w:tcW w:type="dxa" w:w="2800"/>
            <w:shd w:fill="1B4965" w:val="clear"/>
            <w:tcMar>
              <w:top w:type="dxa" w:w="90"/>
              <w:left w:type="dxa" w:w="110"/>
              <w:bottom w:type="dxa" w:w="90"/>
              <w:right w:type="dxa" w:w="110"/>
            </w:tcMar>
          </w:tcPr>
          <w:p>
            <w:pPr>
              <w:spacing w:after="0"/>
            </w:pPr>
            <w:r>
              <w:rPr>
                <w:b/>
                <w:bCs/>
                <w:color w:val="FFFFFF"/>
                <w:sz w:val="19"/>
                <w:szCs w:val="19"/>
              </w:rPr>
              <w:t xml:space="preserve">De dónde sale</w:t>
            </w:r>
          </w:p>
        </w:tc>
        <w:tc>
          <w:tcPr>
            <w:tcW w:type="dxa" w:w="3226"/>
            <w:shd w:fill="1B4965" w:val="clear"/>
            <w:tcMar>
              <w:top w:type="dxa" w:w="90"/>
              <w:left w:type="dxa" w:w="110"/>
              <w:bottom w:type="dxa" w:w="90"/>
              <w:right w:type="dxa" w:w="110"/>
            </w:tcMar>
          </w:tcPr>
          <w:p>
            <w:pPr>
              <w:spacing w:after="0"/>
            </w:pPr>
            <w:r>
              <w:rPr>
                <w:b/>
                <w:bCs/>
                <w:color w:val="FFFFFF"/>
                <w:sz w:val="19"/>
                <w:szCs w:val="19"/>
              </w:rPr>
              <w:t xml:space="preserve">Qué lo garantiza</w:t>
            </w:r>
          </w:p>
        </w:tc>
      </w:tr>
      <w:tr>
        <w:tc>
          <w:tcPr>
            <w:tcW w:type="dxa" w:w="3000"/>
            <w:tcMar>
              <w:top w:type="dxa" w:w="80"/>
              <w:left w:type="dxa" w:w="110"/>
              <w:bottom w:type="dxa" w:w="80"/>
              <w:right w:type="dxa" w:w="110"/>
            </w:tcMar>
          </w:tcPr>
          <w:p>
            <w:pPr>
              <w:spacing w:after="0"/>
            </w:pPr>
            <w:r>
              <w:rPr>
                <w:rFonts w:ascii="Courier New" w:cs="Courier New" w:eastAsia="Courier New" w:hAnsi="Courier New"/>
                <w:sz w:val="18"/>
                <w:szCs w:val="18"/>
              </w:rPr>
              <w:t xml:space="preserve">users.full_name</w:t>
            </w:r>
          </w:p>
          <w:p>
            <w:pPr>
              <w:spacing w:after="0"/>
            </w:pPr>
            <w:r>
              <w:rPr>
                <w:rFonts w:ascii="Courier New" w:cs="Courier New" w:eastAsia="Courier New" w:hAnsi="Courier New"/>
                <w:sz w:val="18"/>
                <w:szCs w:val="18"/>
              </w:rPr>
              <w:t xml:space="preserve">patients.full_name</w:t>
            </w:r>
          </w:p>
          <w:p>
            <w:pPr>
              <w:spacing w:after="0"/>
            </w:pPr>
            <w:r>
              <w:rPr>
                <w:rFonts w:ascii="Courier New" w:cs="Courier New" w:eastAsia="Courier New" w:hAnsi="Courier New"/>
                <w:sz w:val="18"/>
                <w:szCs w:val="18"/>
              </w:rPr>
              <w:t xml:space="preserve">emergency_contacts.full_name</w:t>
            </w:r>
          </w:p>
        </w:tc>
        <w:tc>
          <w:tcPr>
            <w:tcW w:type="dxa" w:w="2800"/>
            <w:tcMar>
              <w:top w:type="dxa" w:w="80"/>
              <w:left w:type="dxa" w:w="110"/>
              <w:bottom w:type="dxa" w:w="80"/>
              <w:right w:type="dxa" w:w="110"/>
            </w:tcMar>
          </w:tcPr>
          <w:p>
            <w:pPr>
              <w:spacing w:after="0"/>
            </w:pPr>
            <w:r>
              <w:rPr>
                <w:sz w:val="18"/>
                <w:szCs w:val="18"/>
              </w:rPr>
              <w:t xml:space="preserve">first_name y last_name</w:t>
            </w:r>
          </w:p>
        </w:tc>
        <w:tc>
          <w:tcPr>
            <w:tcW w:type="dxa" w:w="3226"/>
            <w:tcMar>
              <w:top w:type="dxa" w:w="80"/>
              <w:left w:type="dxa" w:w="110"/>
              <w:bottom w:type="dxa" w:w="80"/>
              <w:right w:type="dxa" w:w="110"/>
            </w:tcMar>
          </w:tcPr>
          <w:p>
            <w:pPr>
              <w:spacing w:after="0"/>
            </w:pPr>
            <w:r>
              <w:rPr>
                <w:sz w:val="18"/>
                <w:szCs w:val="18"/>
              </w:rPr>
              <w:t xml:space="preserve">GENERATED ALWAYS STORED</w:t>
            </w:r>
          </w:p>
        </w:tc>
      </w:tr>
      <w:tr>
        <w:tc>
          <w:tcPr>
            <w:tcW w:type="dxa" w:w="3000"/>
            <w:shd w:fill="F2F5F7" w:val="clear"/>
            <w:tcMar>
              <w:top w:type="dxa" w:w="80"/>
              <w:left w:type="dxa" w:w="110"/>
              <w:bottom w:type="dxa" w:w="80"/>
              <w:right w:type="dxa" w:w="110"/>
            </w:tcMar>
          </w:tcPr>
          <w:p>
            <w:pPr>
              <w:spacing w:after="0"/>
            </w:pPr>
            <w:r>
              <w:rPr>
                <w:rFonts w:ascii="Courier New" w:cs="Courier New" w:eastAsia="Courier New" w:hAnsi="Courier New"/>
                <w:sz w:val="18"/>
                <w:szCs w:val="18"/>
              </w:rPr>
              <w:t xml:space="preserve">medications.dose_text</w:t>
            </w:r>
          </w:p>
        </w:tc>
        <w:tc>
          <w:tcPr>
            <w:tcW w:type="dxa" w:w="2800"/>
            <w:shd w:fill="F2F5F7" w:val="clear"/>
            <w:tcMar>
              <w:top w:type="dxa" w:w="80"/>
              <w:left w:type="dxa" w:w="110"/>
              <w:bottom w:type="dxa" w:w="80"/>
              <w:right w:type="dxa" w:w="110"/>
            </w:tcMar>
          </w:tcPr>
          <w:p>
            <w:pPr>
              <w:spacing w:after="0"/>
            </w:pPr>
            <w:r>
              <w:rPr>
                <w:sz w:val="18"/>
                <w:szCs w:val="18"/>
              </w:rPr>
              <w:t xml:space="preserve">dose_amount y dose_unit</w:t>
            </w:r>
          </w:p>
        </w:tc>
        <w:tc>
          <w:tcPr>
            <w:tcW w:type="dxa" w:w="3226"/>
            <w:shd w:fill="F2F5F7" w:val="clear"/>
            <w:tcMar>
              <w:top w:type="dxa" w:w="80"/>
              <w:left w:type="dxa" w:w="110"/>
              <w:bottom w:type="dxa" w:w="80"/>
              <w:right w:type="dxa" w:w="110"/>
            </w:tcMar>
          </w:tcPr>
          <w:p>
            <w:pPr>
              <w:spacing w:after="0"/>
            </w:pPr>
            <w:r>
              <w:rPr>
                <w:sz w:val="18"/>
                <w:szCs w:val="18"/>
              </w:rPr>
              <w:t xml:space="preserve">GENERATED ALWAYS STORED</w:t>
            </w:r>
          </w:p>
        </w:tc>
      </w:tr>
      <w:tr>
        <w:tc>
          <w:tcPr>
            <w:tcW w:type="dxa" w:w="3000"/>
            <w:tcMar>
              <w:top w:type="dxa" w:w="80"/>
              <w:left w:type="dxa" w:w="110"/>
              <w:bottom w:type="dxa" w:w="80"/>
              <w:right w:type="dxa" w:w="110"/>
            </w:tcMar>
          </w:tcPr>
          <w:p>
            <w:pPr>
              <w:spacing w:after="0"/>
            </w:pPr>
            <w:r>
              <w:rPr>
                <w:rFonts w:ascii="Courier New" w:cs="Courier New" w:eastAsia="Courier New" w:hAnsi="Courier New"/>
                <w:sz w:val="18"/>
                <w:szCs w:val="18"/>
              </w:rPr>
              <w:t xml:space="preserve">activity_sessions.duration_seconds</w:t>
            </w:r>
          </w:p>
        </w:tc>
        <w:tc>
          <w:tcPr>
            <w:tcW w:type="dxa" w:w="2800"/>
            <w:tcMar>
              <w:top w:type="dxa" w:w="80"/>
              <w:left w:type="dxa" w:w="110"/>
              <w:bottom w:type="dxa" w:w="80"/>
              <w:right w:type="dxa" w:w="110"/>
            </w:tcMar>
          </w:tcPr>
          <w:p>
            <w:pPr>
              <w:spacing w:after="0"/>
            </w:pPr>
            <w:r>
              <w:rPr>
                <w:sz w:val="18"/>
                <w:szCs w:val="18"/>
              </w:rPr>
              <w:t xml:space="preserve">started_at y ended_at</w:t>
            </w:r>
          </w:p>
        </w:tc>
        <w:tc>
          <w:tcPr>
            <w:tcW w:type="dxa" w:w="3226"/>
            <w:tcMar>
              <w:top w:type="dxa" w:w="80"/>
              <w:left w:type="dxa" w:w="110"/>
              <w:bottom w:type="dxa" w:w="80"/>
              <w:right w:type="dxa" w:w="110"/>
            </w:tcMar>
          </w:tcPr>
          <w:p>
            <w:pPr>
              <w:spacing w:after="0"/>
            </w:pPr>
            <w:r>
              <w:rPr>
                <w:sz w:val="18"/>
                <w:szCs w:val="18"/>
              </w:rPr>
              <w:t xml:space="preserve">GENERATED ALWAYS STORED</w:t>
            </w:r>
          </w:p>
        </w:tc>
      </w:tr>
      <w:tr>
        <w:tc>
          <w:tcPr>
            <w:tcW w:type="dxa" w:w="3000"/>
            <w:shd w:fill="F2F5F7" w:val="clear"/>
            <w:tcMar>
              <w:top w:type="dxa" w:w="80"/>
              <w:left w:type="dxa" w:w="110"/>
              <w:bottom w:type="dxa" w:w="80"/>
              <w:right w:type="dxa" w:w="110"/>
            </w:tcMar>
          </w:tcPr>
          <w:p>
            <w:pPr>
              <w:spacing w:after="0"/>
            </w:pPr>
            <w:r>
              <w:rPr>
                <w:rFonts w:ascii="Courier New" w:cs="Courier New" w:eastAsia="Courier New" w:hAnsi="Courier New"/>
                <w:sz w:val="18"/>
                <w:szCs w:val="18"/>
              </w:rPr>
              <w:t xml:space="preserve">caregiver_profiles.rating_avg</w:t>
            </w:r>
          </w:p>
          <w:p>
            <w:pPr>
              <w:spacing w:after="0"/>
            </w:pPr>
            <w:r>
              <w:rPr>
                <w:rFonts w:ascii="Courier New" w:cs="Courier New" w:eastAsia="Courier New" w:hAnsi="Courier New"/>
                <w:sz w:val="18"/>
                <w:szCs w:val="18"/>
              </w:rPr>
              <w:t xml:space="preserve">caregiver_profiles.rating_count</w:t>
            </w:r>
          </w:p>
        </w:tc>
        <w:tc>
          <w:tcPr>
            <w:tcW w:type="dxa" w:w="2800"/>
            <w:shd w:fill="F2F5F7" w:val="clear"/>
            <w:tcMar>
              <w:top w:type="dxa" w:w="80"/>
              <w:left w:type="dxa" w:w="110"/>
              <w:bottom w:type="dxa" w:w="80"/>
              <w:right w:type="dxa" w:w="110"/>
            </w:tcMar>
          </w:tcPr>
          <w:p>
            <w:pPr>
              <w:spacing w:after="0"/>
            </w:pPr>
            <w:r>
              <w:rPr>
                <w:sz w:val="18"/>
                <w:szCs w:val="18"/>
              </w:rPr>
              <w:t xml:space="preserve">las reseñas vigentes del perfil</w:t>
            </w:r>
          </w:p>
        </w:tc>
        <w:tc>
          <w:tcPr>
            <w:tcW w:type="dxa" w:w="3226"/>
            <w:shd w:fill="F2F5F7" w:val="clear"/>
            <w:tcMar>
              <w:top w:type="dxa" w:w="80"/>
              <w:left w:type="dxa" w:w="110"/>
              <w:bottom w:type="dxa" w:w="80"/>
              <w:right w:type="dxa" w:w="110"/>
            </w:tcMar>
          </w:tcPr>
          <w:p>
            <w:pPr>
              <w:spacing w:after="0"/>
            </w:pPr>
            <w:r>
              <w:rPr>
                <w:sz w:val="18"/>
                <w:szCs w:val="18"/>
              </w:rPr>
              <w:t xml:space="preserve">Trigger que recalcula en cada cambio</w:t>
            </w:r>
          </w:p>
        </w:tc>
      </w:tr>
      <w:tr>
        <w:tc>
          <w:tcPr>
            <w:tcW w:type="dxa" w:w="3000"/>
            <w:tcMar>
              <w:top w:type="dxa" w:w="80"/>
              <w:left w:type="dxa" w:w="110"/>
              <w:bottom w:type="dxa" w:w="80"/>
              <w:right w:type="dxa" w:w="110"/>
            </w:tcMar>
          </w:tcPr>
          <w:p>
            <w:pPr>
              <w:spacing w:after="0"/>
            </w:pPr>
            <w:r>
              <w:rPr>
                <w:rFonts w:ascii="Courier New" w:cs="Courier New" w:eastAsia="Courier New" w:hAnsi="Courier New"/>
                <w:sz w:val="18"/>
                <w:szCs w:val="18"/>
              </w:rPr>
              <w:t xml:space="preserve">patients.rut_dv</w:t>
            </w:r>
          </w:p>
        </w:tc>
        <w:tc>
          <w:tcPr>
            <w:tcW w:type="dxa" w:w="2800"/>
            <w:tcMar>
              <w:top w:type="dxa" w:w="80"/>
              <w:left w:type="dxa" w:w="110"/>
              <w:bottom w:type="dxa" w:w="80"/>
              <w:right w:type="dxa" w:w="110"/>
            </w:tcMar>
          </w:tcPr>
          <w:p>
            <w:pPr>
              <w:spacing w:after="0"/>
            </w:pPr>
            <w:r>
              <w:rPr>
                <w:sz w:val="18"/>
                <w:szCs w:val="18"/>
              </w:rPr>
              <w:t xml:space="preserve">rut_number por módulo 11</w:t>
            </w:r>
          </w:p>
        </w:tc>
        <w:tc>
          <w:tcPr>
            <w:tcW w:type="dxa" w:w="3226"/>
            <w:tcMar>
              <w:top w:type="dxa" w:w="80"/>
              <w:left w:type="dxa" w:w="110"/>
              <w:bottom w:type="dxa" w:w="80"/>
              <w:right w:type="dxa" w:w="110"/>
            </w:tcMar>
          </w:tcPr>
          <w:p>
            <w:pPr>
              <w:spacing w:after="0"/>
            </w:pPr>
            <w:r>
              <w:rPr>
                <w:sz w:val="18"/>
                <w:szCs w:val="18"/>
              </w:rPr>
              <w:t xml:space="preserve">CHECK contra función inmutable</w:t>
            </w:r>
          </w:p>
        </w:tc>
      </w:tr>
    </w:tbl>
    <w:p>
      <w:pPr>
        <w:spacing w:after="120" w:before="0" w:line="276"/>
      </w:pPr>
      <w:r>
        <w:rPr>
          <w:color w:val="1A1A1A"/>
          <w:sz w:val="21"/>
          <w:szCs w:val="21"/>
        </w:rPr>
        <w:t xml:space="preserve">Se almacenan en vez de calcularse al vuelo porque son columnas que se buscan, se ordenan y se indexan. Calcular un promedio de reseñas en cada búsqueda del marketplace, o partir un nombre en cada consulta, haría imposible indexarlos.</w:t>
      </w:r>
    </w:p>
    <w:p>
      <w:pPr>
        <w:pStyle w:val="Heading2"/>
        <w:spacing w:after="120" w:before="260"/>
      </w:pPr>
      <w:r>
        <w:rPr>
          <w:b/>
          <w:bCs/>
          <w:color w:val="1B4965"/>
          <w:sz w:val="24"/>
          <w:szCs w:val="24"/>
        </w:rPr>
        <w:t xml:space="preserve">C. Redundancia que compra integridad</w:t>
      </w:r>
    </w:p>
    <w:p>
      <w:pPr>
        <w:spacing w:after="120" w:before="0" w:line="276"/>
      </w:pPr>
      <w:r>
        <w:rPr>
          <w:color w:val="1A1A1A"/>
          <w:sz w:val="21"/>
          <w:szCs w:val="21"/>
        </w:rPr>
        <w:t xml:space="preserve">Esta es la categoría más interesante de defender. En cuatro lugares se guarda a propósito un dato que ya existe en otra tabla, y siempre por el mismo motivo: permite armar una clave foránea compuesta que convierte una regla del documento de requisitos en algo que el motor impone.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B4965" w:val="clear"/>
            <w:tcMar>
              <w:top w:type="dxa" w:w="90"/>
              <w:left w:type="dxa" w:w="110"/>
              <w:bottom w:type="dxa" w:w="90"/>
              <w:right w:type="dxa" w:w="110"/>
            </w:tcMar>
          </w:tcPr>
          <w:p>
            <w:pPr>
              <w:spacing w:after="0"/>
            </w:pPr>
            <w:r>
              <w:rPr>
                <w:b/>
                <w:bCs/>
                <w:color w:val="FFFFFF"/>
                <w:sz w:val="19"/>
                <w:szCs w:val="19"/>
              </w:rPr>
              <w:t xml:space="preserve">Columna redundante</w:t>
            </w:r>
          </w:p>
        </w:tc>
        <w:tc>
          <w:tcPr>
            <w:tcW w:type="dxa" w:w="6026"/>
            <w:shd w:fill="1B4965" w:val="clear"/>
            <w:tcMar>
              <w:top w:type="dxa" w:w="90"/>
              <w:left w:type="dxa" w:w="110"/>
              <w:bottom w:type="dxa" w:w="90"/>
              <w:right w:type="dxa" w:w="110"/>
            </w:tcMar>
          </w:tcPr>
          <w:p>
            <w:pPr>
              <w:spacing w:after="0"/>
            </w:pPr>
            <w:r>
              <w:rPr>
                <w:b/>
                <w:bCs/>
                <w:color w:val="FFFFFF"/>
                <w:sz w:val="19"/>
                <w:szCs w:val="19"/>
              </w:rPr>
              <w:t xml:space="preserve">Qué regla permite imponer</w:t>
            </w:r>
          </w:p>
        </w:tc>
      </w:tr>
      <w:tr>
        <w:tc>
          <w:tcPr>
            <w:tcW w:type="dxa" w:w="3000"/>
            <w:tcMar>
              <w:top w:type="dxa" w:w="80"/>
              <w:left w:type="dxa" w:w="110"/>
              <w:bottom w:type="dxa" w:w="80"/>
              <w:right w:type="dxa" w:w="110"/>
            </w:tcMar>
          </w:tcPr>
          <w:p>
            <w:pPr>
              <w:spacing w:after="0"/>
            </w:pPr>
            <w:r>
              <w:rPr>
                <w:rFonts w:ascii="Courier New" w:cs="Courier New" w:eastAsia="Courier New" w:hAnsi="Courier New"/>
                <w:sz w:val="18"/>
                <w:szCs w:val="18"/>
              </w:rPr>
              <w:t xml:space="preserve">assistant_queries.conversation_type</w:t>
            </w:r>
          </w:p>
        </w:tc>
        <w:tc>
          <w:tcPr>
            <w:tcW w:type="dxa" w:w="6026"/>
            <w:tcMar>
              <w:top w:type="dxa" w:w="80"/>
              <w:left w:type="dxa" w:w="110"/>
              <w:bottom w:type="dxa" w:w="80"/>
              <w:right w:type="dxa" w:w="110"/>
            </w:tcMar>
          </w:tcPr>
          <w:p>
            <w:pPr>
              <w:spacing w:after="0"/>
            </w:pPr>
            <w:r>
              <w:rPr>
                <w:sz w:val="18"/>
                <w:szCs w:val="18"/>
              </w:rPr>
              <w:t xml:space="preserve">RF-58. La consulta al asistente queda amarrada al tipo real de la conversación, así que la columna no puede mentir sobre si fue en el chat humano o en el hilo del asistente.</w:t>
            </w:r>
          </w:p>
        </w:tc>
      </w:tr>
      <w:tr>
        <w:tc>
          <w:tcPr>
            <w:tcW w:type="dxa" w:w="3000"/>
            <w:shd w:fill="F2F5F7" w:val="clear"/>
            <w:tcMar>
              <w:top w:type="dxa" w:w="80"/>
              <w:left w:type="dxa" w:w="110"/>
              <w:bottom w:type="dxa" w:w="80"/>
              <w:right w:type="dxa" w:w="110"/>
            </w:tcMar>
          </w:tcPr>
          <w:p>
            <w:pPr>
              <w:spacing w:after="0"/>
            </w:pPr>
            <w:r>
              <w:rPr>
                <w:rFonts w:ascii="Courier New" w:cs="Courier New" w:eastAsia="Courier New" w:hAnsi="Courier New"/>
                <w:sz w:val="18"/>
                <w:szCs w:val="18"/>
              </w:rPr>
              <w:t xml:space="preserve">caregiver_reviews.reviewed_user_id</w:t>
            </w:r>
          </w:p>
        </w:tc>
        <w:tc>
          <w:tcPr>
            <w:tcW w:type="dxa" w:w="6026"/>
            <w:shd w:fill="F2F5F7" w:val="clear"/>
            <w:tcMar>
              <w:top w:type="dxa" w:w="80"/>
              <w:left w:type="dxa" w:w="110"/>
              <w:bottom w:type="dxa" w:w="80"/>
              <w:right w:type="dxa" w:w="110"/>
            </w:tcMar>
          </w:tcPr>
          <w:p>
            <w:pPr>
              <w:spacing w:after="0"/>
            </w:pPr>
            <w:r>
              <w:rPr>
                <w:sz w:val="18"/>
                <w:szCs w:val="18"/>
              </w:rPr>
              <w:t xml:space="preserve">RF-78. Permite dos claves foráneas compuestas contra patient_members que verifican que el autor y la cuidadora compartieron ese paciente. Sin esta columna, "solo reseña quien la tuvo en su círculo" quedaría en manos de la aplicación.</w:t>
            </w:r>
          </w:p>
        </w:tc>
      </w:tr>
      <w:tr>
        <w:tc>
          <w:tcPr>
            <w:tcW w:type="dxa" w:w="3000"/>
            <w:tcMar>
              <w:top w:type="dxa" w:w="80"/>
              <w:left w:type="dxa" w:w="110"/>
              <w:bottom w:type="dxa" w:w="80"/>
              <w:right w:type="dxa" w:w="110"/>
            </w:tcMar>
          </w:tcPr>
          <w:p>
            <w:pPr>
              <w:spacing w:after="0"/>
            </w:pPr>
            <w:r>
              <w:rPr>
                <w:rFonts w:ascii="Courier New" w:cs="Courier New" w:eastAsia="Courier New" w:hAnsi="Courier New"/>
                <w:sz w:val="18"/>
                <w:szCs w:val="18"/>
              </w:rPr>
              <w:t xml:space="preserve">content_items.file_scope</w:t>
            </w:r>
          </w:p>
          <w:p>
            <w:pPr>
              <w:spacing w:after="0"/>
            </w:pPr>
            <w:r>
              <w:rPr>
                <w:rFonts w:ascii="Courier New" w:cs="Courier New" w:eastAsia="Courier New" w:hAnsi="Courier New"/>
                <w:sz w:val="18"/>
                <w:szCs w:val="18"/>
              </w:rPr>
              <w:t xml:space="preserve">caregiver_certifications.file_scope</w:t>
            </w:r>
          </w:p>
        </w:tc>
        <w:tc>
          <w:tcPr>
            <w:tcW w:type="dxa" w:w="6026"/>
            <w:tcMar>
              <w:top w:type="dxa" w:w="80"/>
              <w:left w:type="dxa" w:w="110"/>
              <w:bottom w:type="dxa" w:w="80"/>
              <w:right w:type="dxa" w:w="110"/>
            </w:tcMar>
          </w:tcPr>
          <w:p>
            <w:pPr>
              <w:spacing w:after="0"/>
            </w:pPr>
            <w:r>
              <w:rPr>
                <w:sz w:val="18"/>
                <w:szCs w:val="18"/>
              </w:rPr>
              <w:t xml:space="preserve">Impiden que un ítem del catálogo o un certificado referencien el archivo de un paciente.</w:t>
            </w:r>
          </w:p>
        </w:tc>
      </w:tr>
    </w:tbl>
    <w:p>
      <w:pPr>
        <w:spacing w:after="120" w:before="0" w:line="276"/>
      </w:pPr>
      <w:r>
        <w:rPr>
          <w:color w:val="1A1A1A"/>
          <w:sz w:val="21"/>
          <w:szCs w:val="21"/>
        </w:rPr>
        <w:t xml:space="preserve">El criterio para aceptar redundancia en esta categoría es estricto: solo vale si la clave foránea compuesta hace imposible la inconsistencia. Una columna copiada que nadie verifica no entra acá, entra en los errores.</w:t>
      </w:r>
    </w:p>
    <w:p>
      <w:pPr>
        <w:pStyle w:val="Heading2"/>
        <w:spacing w:after="120" w:before="260"/>
      </w:pPr>
      <w:r>
        <w:rPr>
          <w:b/>
          <w:bCs/>
          <w:color w:val="1B4965"/>
          <w:sz w:val="24"/>
          <w:szCs w:val="24"/>
        </w:rPr>
        <w:t xml:space="preserve">D. Hechos históricos y estructuras variables</w:t>
      </w:r>
    </w:p>
    <w:p>
      <w:pPr>
        <w:spacing w:after="120" w:before="0" w:line="276"/>
      </w:pPr>
      <w:r>
        <w:rPr>
          <w:color w:val="1A1A1A"/>
          <w:sz w:val="21"/>
          <w:szCs w:val="21"/>
        </w:rPr>
        <w:t xml:space="preserve">Acá no hay redundancia real, hay un malentendido frecuente. Un valor que coincide hoy con otra tabla pero que representa un hecho de un momento determinado no es una dependencia transitiva: es otro dato.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B4965" w:val="clear"/>
            <w:tcMar>
              <w:top w:type="dxa" w:w="90"/>
              <w:left w:type="dxa" w:w="110"/>
              <w:bottom w:type="dxa" w:w="90"/>
              <w:right w:type="dxa" w:w="110"/>
            </w:tcMar>
          </w:tcPr>
          <w:p>
            <w:pPr>
              <w:spacing w:after="0"/>
            </w:pPr>
            <w:r>
              <w:rPr>
                <w:b/>
                <w:bCs/>
                <w:color w:val="FFFFFF"/>
                <w:sz w:val="19"/>
                <w:szCs w:val="19"/>
              </w:rPr>
              <w:t xml:space="preserve">Columna</w:t>
            </w:r>
          </w:p>
        </w:tc>
        <w:tc>
          <w:tcPr>
            <w:tcW w:type="dxa" w:w="6026"/>
            <w:shd w:fill="1B4965" w:val="clear"/>
            <w:tcMar>
              <w:top w:type="dxa" w:w="90"/>
              <w:left w:type="dxa" w:w="110"/>
              <w:bottom w:type="dxa" w:w="90"/>
              <w:right w:type="dxa" w:w="110"/>
            </w:tcMar>
          </w:tcPr>
          <w:p>
            <w:pPr>
              <w:spacing w:after="0"/>
            </w:pPr>
            <w:r>
              <w:rPr>
                <w:b/>
                <w:bCs/>
                <w:color w:val="FFFFFF"/>
                <w:sz w:val="19"/>
                <w:szCs w:val="19"/>
              </w:rPr>
              <w:t xml:space="preserve">Por qué no es dependencia transitiva</w:t>
            </w:r>
          </w:p>
        </w:tc>
      </w:tr>
      <w:tr>
        <w:tc>
          <w:tcPr>
            <w:tcW w:type="dxa" w:w="3000"/>
            <w:tcMar>
              <w:top w:type="dxa" w:w="80"/>
              <w:left w:type="dxa" w:w="110"/>
              <w:bottom w:type="dxa" w:w="80"/>
              <w:right w:type="dxa" w:w="110"/>
            </w:tcMar>
          </w:tcPr>
          <w:p>
            <w:pPr>
              <w:spacing w:after="0"/>
            </w:pPr>
            <w:r>
              <w:rPr>
                <w:rFonts w:ascii="Courier New" w:cs="Courier New" w:eastAsia="Courier New" w:hAnsi="Courier New"/>
                <w:sz w:val="18"/>
                <w:szCs w:val="18"/>
              </w:rPr>
              <w:t xml:space="preserve">record_access_log.role</w:t>
            </w:r>
          </w:p>
        </w:tc>
        <w:tc>
          <w:tcPr>
            <w:tcW w:type="dxa" w:w="6026"/>
            <w:tcMar>
              <w:top w:type="dxa" w:w="80"/>
              <w:left w:type="dxa" w:w="110"/>
              <w:bottom w:type="dxa" w:w="80"/>
              <w:right w:type="dxa" w:w="110"/>
            </w:tcMar>
          </w:tcPr>
          <w:p>
            <w:pPr>
              <w:spacing w:after="0"/>
            </w:pPr>
            <w:r>
              <w:rPr>
                <w:sz w:val="18"/>
                <w:szCs w:val="18"/>
              </w:rPr>
              <w:t xml:space="preserve">Es el rol con que alguien accedió ese día, no el rol que tiene hoy. Si mañana se le cambia el rol, la auditoría tiene que seguir diciendo con qué permiso entró. RNF-14.</w:t>
            </w:r>
          </w:p>
        </w:tc>
      </w:tr>
      <w:tr>
        <w:tc>
          <w:tcPr>
            <w:tcW w:type="dxa" w:w="3000"/>
            <w:shd w:fill="F2F5F7" w:val="clear"/>
            <w:tcMar>
              <w:top w:type="dxa" w:w="80"/>
              <w:left w:type="dxa" w:w="110"/>
              <w:bottom w:type="dxa" w:w="80"/>
              <w:right w:type="dxa" w:w="110"/>
            </w:tcMar>
          </w:tcPr>
          <w:p>
            <w:pPr>
              <w:spacing w:after="0"/>
            </w:pPr>
            <w:r>
              <w:rPr>
                <w:rFonts w:ascii="Courier New" w:cs="Courier New" w:eastAsia="Courier New" w:hAnsi="Courier New"/>
                <w:sz w:val="18"/>
                <w:szCs w:val="18"/>
              </w:rPr>
              <w:t xml:space="preserve">activity_reports.doses_total</w:t>
            </w:r>
          </w:p>
          <w:p>
            <w:pPr>
              <w:spacing w:after="0"/>
            </w:pPr>
            <w:r>
              <w:rPr>
                <w:rFonts w:ascii="Courier New" w:cs="Courier New" w:eastAsia="Courier New" w:hAnsi="Courier New"/>
                <w:sz w:val="18"/>
                <w:szCs w:val="18"/>
              </w:rPr>
              <w:t xml:space="preserve">activity_reports.adherence_pct</w:t>
            </w:r>
          </w:p>
          <w:p>
            <w:pPr>
              <w:spacing w:after="0"/>
            </w:pPr>
            <w:r>
              <w:rPr>
                <w:sz w:val="18"/>
                <w:szCs w:val="18"/>
              </w:rPr>
              <w:t xml:space="preserve">y demás cifras del resumen</w:t>
            </w:r>
          </w:p>
        </w:tc>
        <w:tc>
          <w:tcPr>
            <w:tcW w:type="dxa" w:w="6026"/>
            <w:shd w:fill="F2F5F7" w:val="clear"/>
            <w:tcMar>
              <w:top w:type="dxa" w:w="80"/>
              <w:left w:type="dxa" w:w="110"/>
              <w:bottom w:type="dxa" w:w="80"/>
              <w:right w:type="dxa" w:w="110"/>
            </w:tcMar>
          </w:tcPr>
          <w:p>
            <w:pPr>
              <w:spacing w:after="0"/>
            </w:pPr>
            <w:r>
              <w:rPr>
                <w:sz w:val="18"/>
                <w:szCs w:val="18"/>
              </w:rPr>
              <w:t xml:space="preserve">Son el valor que tenía el indicador el día que se emitió el reporte. Si una toma se corrige después, el reporte ya entregado no puede cambiar. RF-74.</w:t>
            </w:r>
          </w:p>
        </w:tc>
      </w:tr>
      <w:tr>
        <w:tc>
          <w:tcPr>
            <w:tcW w:type="dxa" w:w="3000"/>
            <w:tcMar>
              <w:top w:type="dxa" w:w="80"/>
              <w:left w:type="dxa" w:w="110"/>
              <w:bottom w:type="dxa" w:w="80"/>
              <w:right w:type="dxa" w:w="110"/>
            </w:tcMar>
          </w:tcPr>
          <w:p>
            <w:pPr>
              <w:spacing w:after="0"/>
            </w:pPr>
            <w:r>
              <w:rPr>
                <w:rFonts w:ascii="Courier New" w:cs="Courier New" w:eastAsia="Courier New" w:hAnsi="Courier New"/>
                <w:sz w:val="18"/>
                <w:szCs w:val="18"/>
              </w:rPr>
              <w:t xml:space="preserve">billing_events.amount</w:t>
            </w:r>
          </w:p>
        </w:tc>
        <w:tc>
          <w:tcPr>
            <w:tcW w:type="dxa" w:w="6026"/>
            <w:tcMar>
              <w:top w:type="dxa" w:w="80"/>
              <w:left w:type="dxa" w:w="110"/>
              <w:bottom w:type="dxa" w:w="80"/>
              <w:right w:type="dxa" w:w="110"/>
            </w:tcMar>
          </w:tcPr>
          <w:p>
            <w:pPr>
              <w:spacing w:after="0"/>
            </w:pPr>
            <w:r>
              <w:rPr>
                <w:sz w:val="18"/>
                <w:szCs w:val="18"/>
              </w:rPr>
              <w:t xml:space="preserve">El monto que se cobró, no el precio vigente hoy. Por eso también existe plan_prices con vigencia en vez de un precio en plans.</w:t>
            </w:r>
          </w:p>
        </w:tc>
      </w:tr>
    </w:tbl>
    <w:p>
      <w:pPr>
        <w:spacing w:after="120" w:before="0" w:line="276"/>
      </w:pPr>
      <w:r>
        <w:rPr>
          <w:color w:val="1A1A1A"/>
          <w:sz w:val="21"/>
          <w:szCs w:val="21"/>
        </w:rPr>
        <w:t xml:space="preserve">Y aparte están los cinco jsonb de estructura variable, que es una excepción a 1FN y no a 3FN.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B4965" w:val="clear"/>
            <w:tcMar>
              <w:top w:type="dxa" w:w="90"/>
              <w:left w:type="dxa" w:w="110"/>
              <w:bottom w:type="dxa" w:w="90"/>
              <w:right w:type="dxa" w:w="110"/>
            </w:tcMar>
          </w:tcPr>
          <w:p>
            <w:pPr>
              <w:spacing w:after="0"/>
            </w:pPr>
            <w:r>
              <w:rPr>
                <w:b/>
                <w:bCs/>
                <w:color w:val="FFFFFF"/>
                <w:sz w:val="19"/>
                <w:szCs w:val="19"/>
              </w:rPr>
              <w:t xml:space="preserve">Columna jsonb</w:t>
            </w:r>
          </w:p>
        </w:tc>
        <w:tc>
          <w:tcPr>
            <w:tcW w:type="dxa" w:w="6426"/>
            <w:shd w:fill="1B4965" w:val="clear"/>
            <w:tcMar>
              <w:top w:type="dxa" w:w="90"/>
              <w:left w:type="dxa" w:w="110"/>
              <w:bottom w:type="dxa" w:w="90"/>
              <w:right w:type="dxa" w:w="110"/>
            </w:tcMar>
          </w:tcPr>
          <w:p>
            <w:pPr>
              <w:spacing w:after="0"/>
            </w:pPr>
            <w:r>
              <w:rPr>
                <w:b/>
                <w:bCs/>
                <w:color w:val="FFFFFF"/>
                <w:sz w:val="19"/>
                <w:szCs w:val="19"/>
              </w:rPr>
              <w:t xml:space="preserve">Justificación</w:t>
            </w:r>
          </w:p>
        </w:tc>
      </w:tr>
      <w:tr>
        <w:tc>
          <w:tcPr>
            <w:tcW w:type="dxa" w:w="2600"/>
            <w:tcMar>
              <w:top w:type="dxa" w:w="80"/>
              <w:left w:type="dxa" w:w="110"/>
              <w:bottom w:type="dxa" w:w="80"/>
              <w:right w:type="dxa" w:w="110"/>
            </w:tcMar>
          </w:tcPr>
          <w:p>
            <w:pPr>
              <w:spacing w:after="0"/>
            </w:pPr>
            <w:r>
              <w:rPr>
                <w:rFonts w:ascii="Courier New" w:cs="Courier New" w:eastAsia="Courier New" w:hAnsi="Courier New"/>
                <w:sz w:val="18"/>
                <w:szCs w:val="18"/>
              </w:rPr>
              <w:t xml:space="preserve">alerts.payload</w:t>
            </w:r>
          </w:p>
        </w:tc>
        <w:tc>
          <w:tcPr>
            <w:tcW w:type="dxa" w:w="6426"/>
            <w:tcMar>
              <w:top w:type="dxa" w:w="80"/>
              <w:left w:type="dxa" w:w="110"/>
              <w:bottom w:type="dxa" w:w="80"/>
              <w:right w:type="dxa" w:w="110"/>
            </w:tcMar>
          </w:tcPr>
          <w:p>
            <w:pPr>
              <w:spacing w:after="0"/>
            </w:pPr>
            <w:r>
              <w:rPr>
                <w:sz w:val="18"/>
                <w:szCs w:val="18"/>
              </w:rPr>
              <w:t xml:space="preserve">La estructura cambia según el tipo de alerta. Normalizarlo exigiría una tabla de detalle por tipo, sin ganar integridad porque estos datos no se consultan ni se cruzan, solo se muestran al abrir la alerta.</w:t>
            </w:r>
          </w:p>
        </w:tc>
      </w:tr>
      <w:tr>
        <w:tc>
          <w:tcPr>
            <w:tcW w:type="dxa" w:w="2600"/>
            <w:shd w:fill="F2F5F7" w:val="clear"/>
            <w:tcMar>
              <w:top w:type="dxa" w:w="80"/>
              <w:left w:type="dxa" w:w="110"/>
              <w:bottom w:type="dxa" w:w="80"/>
              <w:right w:type="dxa" w:w="110"/>
            </w:tcMar>
          </w:tcPr>
          <w:p>
            <w:pPr>
              <w:spacing w:after="0"/>
            </w:pPr>
            <w:r>
              <w:rPr>
                <w:rFonts w:ascii="Courier New" w:cs="Courier New" w:eastAsia="Courier New" w:hAnsi="Courier New"/>
                <w:sz w:val="18"/>
                <w:szCs w:val="18"/>
              </w:rPr>
              <w:t xml:space="preserve">vital_readings.meta</w:t>
            </w:r>
          </w:p>
        </w:tc>
        <w:tc>
          <w:tcPr>
            <w:tcW w:type="dxa" w:w="6426"/>
            <w:shd w:fill="F2F5F7" w:val="clear"/>
            <w:tcMar>
              <w:top w:type="dxa" w:w="80"/>
              <w:left w:type="dxa" w:w="110"/>
              <w:bottom w:type="dxa" w:w="80"/>
              <w:right w:type="dxa" w:w="110"/>
            </w:tcMar>
          </w:tcPr>
          <w:p>
            <w:pPr>
              <w:spacing w:after="0"/>
            </w:pPr>
            <w:r>
              <w:rPr>
                <w:sz w:val="18"/>
                <w:szCs w:val="18"/>
              </w:rPr>
              <w:t xml:space="preserve">Datos del proveedor del wearable, distintos en cada proveedor.</w:t>
            </w:r>
          </w:p>
        </w:tc>
      </w:tr>
      <w:tr>
        <w:tc>
          <w:tcPr>
            <w:tcW w:type="dxa" w:w="2600"/>
            <w:tcMar>
              <w:top w:type="dxa" w:w="80"/>
              <w:left w:type="dxa" w:w="110"/>
              <w:bottom w:type="dxa" w:w="80"/>
              <w:right w:type="dxa" w:w="110"/>
            </w:tcMar>
          </w:tcPr>
          <w:p>
            <w:pPr>
              <w:spacing w:after="0"/>
            </w:pPr>
            <w:r>
              <w:rPr>
                <w:rFonts w:ascii="Courier New" w:cs="Courier New" w:eastAsia="Courier New" w:hAnsi="Courier New"/>
                <w:sz w:val="18"/>
                <w:szCs w:val="18"/>
              </w:rPr>
              <w:t xml:space="preserve">audit_log.old_value</w:t>
            </w:r>
          </w:p>
          <w:p>
            <w:pPr>
              <w:spacing w:after="0"/>
            </w:pPr>
            <w:r>
              <w:rPr>
                <w:rFonts w:ascii="Courier New" w:cs="Courier New" w:eastAsia="Courier New" w:hAnsi="Courier New"/>
                <w:sz w:val="18"/>
                <w:szCs w:val="18"/>
              </w:rPr>
              <w:t xml:space="preserve">audit_log.new_value</w:t>
            </w:r>
          </w:p>
        </w:tc>
        <w:tc>
          <w:tcPr>
            <w:tcW w:type="dxa" w:w="6426"/>
            <w:tcMar>
              <w:top w:type="dxa" w:w="80"/>
              <w:left w:type="dxa" w:w="110"/>
              <w:bottom w:type="dxa" w:w="80"/>
              <w:right w:type="dxa" w:w="110"/>
            </w:tcMar>
          </w:tcPr>
          <w:p>
            <w:pPr>
              <w:spacing w:after="0"/>
            </w:pPr>
            <w:r>
              <w:rPr>
                <w:sz w:val="18"/>
                <w:szCs w:val="18"/>
              </w:rPr>
              <w:t xml:space="preserve">La auditoría registra entidades heterogéneas: el estado anterior de un paciente no tiene la misma forma que el de una alerta.</w:t>
            </w:r>
          </w:p>
        </w:tc>
      </w:tr>
      <w:tr>
        <w:tc>
          <w:tcPr>
            <w:tcW w:type="dxa" w:w="2600"/>
            <w:shd w:fill="F2F5F7" w:val="clear"/>
            <w:tcMar>
              <w:top w:type="dxa" w:w="80"/>
              <w:left w:type="dxa" w:w="110"/>
              <w:bottom w:type="dxa" w:w="80"/>
              <w:right w:type="dxa" w:w="110"/>
            </w:tcMar>
          </w:tcPr>
          <w:p>
            <w:pPr>
              <w:spacing w:after="0"/>
            </w:pPr>
            <w:r>
              <w:rPr>
                <w:rFonts w:ascii="Courier New" w:cs="Courier New" w:eastAsia="Courier New" w:hAnsi="Courier New"/>
                <w:sz w:val="18"/>
                <w:szCs w:val="18"/>
              </w:rPr>
              <w:t xml:space="preserve">analytics_events.properties</w:t>
            </w:r>
          </w:p>
        </w:tc>
        <w:tc>
          <w:tcPr>
            <w:tcW w:type="dxa" w:w="6426"/>
            <w:shd w:fill="F2F5F7" w:val="clear"/>
            <w:tcMar>
              <w:top w:type="dxa" w:w="80"/>
              <w:left w:type="dxa" w:w="110"/>
              <w:bottom w:type="dxa" w:w="80"/>
              <w:right w:type="dxa" w:w="110"/>
            </w:tcMar>
          </w:tcPr>
          <w:p>
            <w:pPr>
              <w:spacing w:after="0"/>
            </w:pPr>
            <w:r>
              <w:rPr>
                <w:sz w:val="18"/>
                <w:szCs w:val="18"/>
              </w:rPr>
              <w:t xml:space="preserve">Cada tipo de evento tiene atributos propios y abiertos. La única alternativa normalizada sería una tabla por tipo de evento, que es exactamente lo que ya son las otras 64 tablas.</w:t>
            </w:r>
          </w:p>
        </w:tc>
      </w:tr>
      <w:tr>
        <w:tc>
          <w:tcPr>
            <w:tcW w:type="dxa" w:w="2600"/>
            <w:tcMar>
              <w:top w:type="dxa" w:w="80"/>
              <w:left w:type="dxa" w:w="110"/>
              <w:bottom w:type="dxa" w:w="80"/>
              <w:right w:type="dxa" w:w="110"/>
            </w:tcMar>
          </w:tcPr>
          <w:p>
            <w:pPr>
              <w:spacing w:after="0"/>
            </w:pPr>
            <w:r>
              <w:rPr>
                <w:rFonts w:ascii="Courier New" w:cs="Courier New" w:eastAsia="Courier New" w:hAnsi="Courier New"/>
                <w:sz w:val="18"/>
                <w:szCs w:val="18"/>
              </w:rPr>
              <w:t xml:space="preserve">wellbeing_snapshots.reasons</w:t>
            </w:r>
          </w:p>
        </w:tc>
        <w:tc>
          <w:tcPr>
            <w:tcW w:type="dxa" w:w="6426"/>
            <w:tcMar>
              <w:top w:type="dxa" w:w="80"/>
              <w:left w:type="dxa" w:w="110"/>
              <w:bottom w:type="dxa" w:w="80"/>
              <w:right w:type="dxa" w:w="110"/>
            </w:tcMar>
          </w:tcPr>
          <w:p>
            <w:pPr>
              <w:spacing w:after="0"/>
            </w:pPr>
            <w:r>
              <w:rPr>
                <w:sz w:val="18"/>
                <w:szCs w:val="18"/>
              </w:rPr>
              <w:t xml:space="preserve">Textos ya redactados para mostrar, no códigos de un catálogo. Nunca se consultan ni se cruzan, y las cifras que sí se analizan están normalizadas al lado en vitals_out_of_range, doses_missed y active_alerts.</w:t>
            </w:r>
          </w:p>
        </w:tc>
      </w:tr>
    </w:tbl>
    <w:p>
      <w:pPr>
        <w:spacing w:after="120" w:before="0" w:line="276"/>
      </w:pPr>
      <w:r>
        <w:rPr>
          <w:color w:val="1A1A1A"/>
          <w:sz w:val="21"/>
          <w:szCs w:val="21"/>
        </w:rPr>
        <w:t xml:space="preserve">La diferencia con patient_conditions, que sí se normalizó, es esa: una condición médica se filtra, se cruza y se analiza; un motivo del semáforo solo se pinta en pantalla.</w:t>
      </w:r>
    </w:p>
    <w:p>
      <w:r>
        <w:br w:type="page"/>
      </w:r>
    </w:p>
    <w:p>
      <w:pPr>
        <w:pStyle w:val="Heading1"/>
        <w:spacing w:after="160" w:before="320"/>
      </w:pPr>
      <w:r>
        <w:rPr>
          <w:b/>
          <w:bCs/>
          <w:color w:val="1B4965"/>
          <w:sz w:val="30"/>
          <w:szCs w:val="30"/>
        </w:rPr>
        <w:t xml:space="preserve">5. Las claves primarias compuestas, por qué existen</w:t>
      </w:r>
    </w:p>
    <w:p>
      <w:pPr>
        <w:spacing w:after="120" w:before="0" w:line="276"/>
      </w:pPr>
      <w:r>
        <w:rPr>
          <w:color w:val="1A1A1A"/>
          <w:sz w:val="21"/>
          <w:szCs w:val="21"/>
        </w:rPr>
        <w:t xml:space="preserve">Hay diez tablas con clave compuesta y conviene no confundir los dos motivos, porque se defienden distinto.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6"/>
      </w:tblGrid>
      <w:tr>
        <w:trPr>
          <w:tblHeader/>
        </w:trPr>
        <w:tc>
          <w:tcPr>
            <w:tcW w:type="dxa" w:w="1900"/>
            <w:shd w:fill="1B4965" w:val="clear"/>
            <w:tcMar>
              <w:top w:type="dxa" w:w="90"/>
              <w:left w:type="dxa" w:w="110"/>
              <w:bottom w:type="dxa" w:w="90"/>
              <w:right w:type="dxa" w:w="110"/>
            </w:tcMar>
          </w:tcPr>
          <w:p>
            <w:pPr>
              <w:spacing w:after="0"/>
            </w:pPr>
            <w:r>
              <w:rPr>
                <w:b/>
                <w:bCs/>
                <w:color w:val="FFFFFF"/>
                <w:sz w:val="19"/>
                <w:szCs w:val="19"/>
              </w:rPr>
              <w:t xml:space="preserve">Motivo</w:t>
            </w:r>
          </w:p>
        </w:tc>
        <w:tc>
          <w:tcPr>
            <w:tcW w:type="dxa" w:w="2700"/>
            <w:shd w:fill="1B4965" w:val="clear"/>
            <w:tcMar>
              <w:top w:type="dxa" w:w="90"/>
              <w:left w:type="dxa" w:w="110"/>
              <w:bottom w:type="dxa" w:w="90"/>
              <w:right w:type="dxa" w:w="110"/>
            </w:tcMar>
          </w:tcPr>
          <w:p>
            <w:pPr>
              <w:spacing w:after="0"/>
            </w:pPr>
            <w:r>
              <w:rPr>
                <w:b/>
                <w:bCs/>
                <w:color w:val="FFFFFF"/>
                <w:sz w:val="19"/>
                <w:szCs w:val="19"/>
              </w:rPr>
              <w:t xml:space="preserve">Tablas</w:t>
            </w:r>
          </w:p>
        </w:tc>
        <w:tc>
          <w:tcPr>
            <w:tcW w:type="dxa" w:w="4426"/>
            <w:shd w:fill="1B4965" w:val="clear"/>
            <w:tcMar>
              <w:top w:type="dxa" w:w="90"/>
              <w:left w:type="dxa" w:w="110"/>
              <w:bottom w:type="dxa" w:w="90"/>
              <w:right w:type="dxa" w:w="110"/>
            </w:tcMar>
          </w:tcPr>
          <w:p>
            <w:pPr>
              <w:spacing w:after="0"/>
            </w:pPr>
            <w:r>
              <w:rPr>
                <w:b/>
                <w:bCs/>
                <w:color w:val="FFFFFF"/>
                <w:sz w:val="19"/>
                <w:szCs w:val="19"/>
              </w:rPr>
              <w:t xml:space="preserve">Qué significa</w:t>
            </w:r>
          </w:p>
        </w:tc>
      </w:tr>
      <w:tr>
        <w:tc>
          <w:tcPr>
            <w:tcW w:type="dxa" w:w="1900"/>
            <w:tcMar>
              <w:top w:type="dxa" w:w="80"/>
              <w:left w:type="dxa" w:w="110"/>
              <w:bottom w:type="dxa" w:w="80"/>
              <w:right w:type="dxa" w:w="110"/>
            </w:tcMar>
          </w:tcPr>
          <w:p>
            <w:pPr>
              <w:spacing w:after="0"/>
            </w:pPr>
            <w:r>
              <w:rPr>
                <w:sz w:val="18"/>
                <w:szCs w:val="18"/>
              </w:rPr>
              <w:t xml:space="preserve">Particionado</w:t>
            </w:r>
          </w:p>
        </w:tc>
        <w:tc>
          <w:tcPr>
            <w:tcW w:type="dxa" w:w="2700"/>
            <w:tcMar>
              <w:top w:type="dxa" w:w="80"/>
              <w:left w:type="dxa" w:w="110"/>
              <w:bottom w:type="dxa" w:w="80"/>
              <w:right w:type="dxa" w:w="110"/>
            </w:tcMar>
          </w:tcPr>
          <w:p>
            <w:pPr>
              <w:spacing w:after="0"/>
            </w:pPr>
            <w:r>
              <w:rPr>
                <w:rFonts w:ascii="Courier New" w:cs="Courier New" w:eastAsia="Courier New" w:hAnsi="Courier New"/>
                <w:sz w:val="18"/>
                <w:szCs w:val="18"/>
              </w:rPr>
              <w:t xml:space="preserve">vital_readings</w:t>
            </w:r>
          </w:p>
          <w:p>
            <w:pPr>
              <w:spacing w:after="0"/>
            </w:pPr>
            <w:r>
              <w:rPr>
                <w:rFonts w:ascii="Courier New" w:cs="Courier New" w:eastAsia="Courier New" w:hAnsi="Courier New"/>
                <w:sz w:val="18"/>
                <w:szCs w:val="18"/>
              </w:rPr>
              <w:t xml:space="preserve">record_access_log</w:t>
            </w:r>
          </w:p>
          <w:p>
            <w:pPr>
              <w:spacing w:after="0"/>
            </w:pPr>
            <w:r>
              <w:rPr>
                <w:rFonts w:ascii="Courier New" w:cs="Courier New" w:eastAsia="Courier New" w:hAnsi="Courier New"/>
                <w:sz w:val="18"/>
                <w:szCs w:val="18"/>
              </w:rPr>
              <w:t xml:space="preserve">analytics_events</w:t>
            </w:r>
          </w:p>
        </w:tc>
        <w:tc>
          <w:tcPr>
            <w:tcW w:type="dxa" w:w="4426"/>
            <w:tcMar>
              <w:top w:type="dxa" w:w="80"/>
              <w:left w:type="dxa" w:w="110"/>
              <w:bottom w:type="dxa" w:w="80"/>
              <w:right w:type="dxa" w:w="110"/>
            </w:tcMar>
          </w:tcPr>
          <w:p>
            <w:pPr>
              <w:spacing w:after="0"/>
            </w:pPr>
            <w:r>
              <w:rPr>
                <w:sz w:val="18"/>
                <w:szCs w:val="18"/>
              </w:rPr>
              <w:t xml:space="preserve">La fecha va en la clave porque PostgreSQL lo exige. Es una excepción técnica a 2FN.</w:t>
            </w:r>
          </w:p>
        </w:tc>
      </w:tr>
      <w:tr>
        <w:tc>
          <w:tcPr>
            <w:tcW w:type="dxa" w:w="1900"/>
            <w:shd w:fill="F2F5F7" w:val="clear"/>
            <w:tcMar>
              <w:top w:type="dxa" w:w="80"/>
              <w:left w:type="dxa" w:w="110"/>
              <w:bottom w:type="dxa" w:w="80"/>
              <w:right w:type="dxa" w:w="110"/>
            </w:tcMar>
          </w:tcPr>
          <w:p>
            <w:pPr>
              <w:spacing w:after="0"/>
            </w:pPr>
            <w:r>
              <w:rPr>
                <w:sz w:val="18"/>
                <w:szCs w:val="18"/>
              </w:rPr>
              <w:t xml:space="preserve">Normalización</w:t>
            </w:r>
          </w:p>
        </w:tc>
        <w:tc>
          <w:tcPr>
            <w:tcW w:type="dxa" w:w="2700"/>
            <w:shd w:fill="F2F5F7" w:val="clear"/>
            <w:tcMar>
              <w:top w:type="dxa" w:w="80"/>
              <w:left w:type="dxa" w:w="110"/>
              <w:bottom w:type="dxa" w:w="80"/>
              <w:right w:type="dxa" w:w="110"/>
            </w:tcMar>
          </w:tcPr>
          <w:p>
            <w:pPr>
              <w:spacing w:after="0"/>
            </w:pPr>
            <w:r>
              <w:rPr>
                <w:rFonts w:ascii="Courier New" w:cs="Courier New" w:eastAsia="Courier New" w:hAnsi="Courier New"/>
                <w:sz w:val="18"/>
                <w:szCs w:val="18"/>
              </w:rPr>
              <w:t xml:space="preserve">medication_days</w:t>
            </w:r>
          </w:p>
          <w:p>
            <w:pPr>
              <w:spacing w:after="0"/>
            </w:pPr>
            <w:r>
              <w:rPr>
                <w:rFonts w:ascii="Courier New" w:cs="Courier New" w:eastAsia="Courier New" w:hAnsi="Courier New"/>
                <w:sz w:val="18"/>
                <w:szCs w:val="18"/>
              </w:rPr>
              <w:t xml:space="preserve">plan_features</w:t>
            </w:r>
          </w:p>
          <w:p>
            <w:pPr>
              <w:spacing w:after="0"/>
            </w:pPr>
            <w:r>
              <w:rPr>
                <w:rFonts w:ascii="Courier New" w:cs="Courier New" w:eastAsia="Courier New" w:hAnsi="Courier New"/>
                <w:sz w:val="18"/>
                <w:szCs w:val="18"/>
              </w:rPr>
              <w:t xml:space="preserve">plan_limits</w:t>
            </w:r>
          </w:p>
          <w:p>
            <w:pPr>
              <w:spacing w:after="0"/>
            </w:pPr>
            <w:r>
              <w:rPr>
                <w:rFonts w:ascii="Courier New" w:cs="Courier New" w:eastAsia="Courier New" w:hAnsi="Courier New"/>
                <w:sz w:val="18"/>
                <w:szCs w:val="18"/>
              </w:rPr>
              <w:t xml:space="preserve">usage_counters</w:t>
            </w:r>
          </w:p>
          <w:p>
            <w:pPr>
              <w:spacing w:after="0"/>
            </w:pPr>
            <w:r>
              <w:rPr>
                <w:rFonts w:ascii="Courier New" w:cs="Courier New" w:eastAsia="Courier New" w:hAnsi="Courier New"/>
                <w:sz w:val="18"/>
                <w:szCs w:val="18"/>
              </w:rPr>
              <w:t xml:space="preserve">caregiver_specialties</w:t>
            </w:r>
          </w:p>
          <w:p>
            <w:pPr>
              <w:spacing w:after="0"/>
            </w:pPr>
            <w:r>
              <w:rPr>
                <w:rFonts w:ascii="Courier New" w:cs="Courier New" w:eastAsia="Courier New" w:hAnsi="Courier New"/>
                <w:sz w:val="18"/>
                <w:szCs w:val="18"/>
              </w:rPr>
              <w:t xml:space="preserve">caregiver_languages</w:t>
            </w:r>
          </w:p>
          <w:p>
            <w:pPr>
              <w:spacing w:after="0"/>
            </w:pPr>
            <w:r>
              <w:rPr>
                <w:rFonts w:ascii="Courier New" w:cs="Courier New" w:eastAsia="Courier New" w:hAnsi="Courier New"/>
                <w:sz w:val="18"/>
                <w:szCs w:val="18"/>
              </w:rPr>
              <w:t xml:space="preserve">caregiver_zones</w:t>
            </w:r>
          </w:p>
        </w:tc>
        <w:tc>
          <w:tcPr>
            <w:tcW w:type="dxa" w:w="4426"/>
            <w:shd w:fill="F2F5F7" w:val="clear"/>
            <w:tcMar>
              <w:top w:type="dxa" w:w="80"/>
              <w:left w:type="dxa" w:w="110"/>
              <w:bottom w:type="dxa" w:w="80"/>
              <w:right w:type="dxa" w:w="110"/>
            </w:tcMar>
          </w:tcPr>
          <w:p>
            <w:pPr>
              <w:spacing w:after="0"/>
            </w:pPr>
            <w:r>
              <w:rPr>
                <w:sz w:val="18"/>
                <w:szCs w:val="18"/>
              </w:rPr>
              <w:t xml:space="preserve">Son tablas puente. El par de columnas ya identifica la fila, así que un uuid de sobra no aportaría nada y además permitiría insertar el mismo par dos veces. Cumplen 2FN, no la rompen.</w:t>
            </w:r>
          </w:p>
        </w:tc>
      </w:tr>
    </w:tbl>
    <w:p>
      <w:pPr>
        <w:pStyle w:val="Heading1"/>
        <w:spacing w:after="160" w:before="320"/>
      </w:pPr>
      <w:r>
        <w:rPr>
          <w:b/>
          <w:bCs/>
          <w:color w:val="1B4965"/>
          <w:sz w:val="30"/>
          <w:szCs w:val="30"/>
        </w:rPr>
        <w:t xml:space="preserve">6. Lo que ya estaba bien y se mantiene</w:t>
      </w:r>
    </w:p>
    <w:p>
      <w:pPr>
        <w:pStyle w:val="ListParagraph"/>
        <w:numPr>
          <w:ilvl w:val="0"/>
          <w:numId w:val="1"/>
        </w:numPr>
        <w:spacing w:after="90" w:line="276"/>
      </w:pPr>
      <w:r>
        <w:rPr>
          <w:sz w:val="21"/>
          <w:szCs w:val="21"/>
        </w:rPr>
        <w:t xml:space="preserve">Las 65 tablas tienen clave primaria.</w:t>
      </w:r>
    </w:p>
    <w:p>
      <w:pPr>
        <w:pStyle w:val="ListParagraph"/>
        <w:numPr>
          <w:ilvl w:val="0"/>
          <w:numId w:val="1"/>
        </w:numPr>
        <w:spacing w:after="90" w:line="276"/>
      </w:pPr>
      <w:r>
        <w:rPr>
          <w:sz w:val="21"/>
          <w:szCs w:val="21"/>
        </w:rPr>
        <w:t xml:space="preserve">Las 255 claves foráneas usan ON DELETE RESTRICT. No hay un solo CASCADE en el modelo.</w:t>
      </w:r>
    </w:p>
    <w:p>
      <w:pPr>
        <w:pStyle w:val="ListParagraph"/>
        <w:numPr>
          <w:ilvl w:val="0"/>
          <w:numId w:val="1"/>
        </w:numPr>
        <w:spacing w:after="90" w:line="276"/>
      </w:pPr>
      <w:r>
        <w:rPr>
          <w:sz w:val="21"/>
          <w:szCs w:val="21"/>
        </w:rPr>
        <w:t xml:space="preserve">Las bajas son lógicas, con marcas de fecha: deleted_at, removed_at, unlinked_at, discontinued_at, revoked_at y cancelled_at.</w:t>
      </w:r>
    </w:p>
    <w:p>
      <w:pPr>
        <w:pStyle w:val="ListParagraph"/>
        <w:numPr>
          <w:ilvl w:val="0"/>
          <w:numId w:val="1"/>
        </w:numPr>
        <w:spacing w:after="90" w:line="276"/>
      </w:pPr>
      <w:r>
        <w:rPr>
          <w:sz w:val="21"/>
          <w:szCs w:val="21"/>
        </w:rPr>
        <w:t xml:space="preserve">Los índices parciales filtran por deleted_at IS NULL donde corresponde.</w:t>
      </w:r>
    </w:p>
    <w:p>
      <w:pPr>
        <w:pStyle w:val="ListParagraph"/>
        <w:numPr>
          <w:ilvl w:val="0"/>
          <w:numId w:val="1"/>
        </w:numPr>
        <w:spacing w:after="90" w:line="276"/>
      </w:pPr>
      <w:r>
        <w:rPr>
          <w:sz w:val="21"/>
          <w:szCs w:val="21"/>
        </w:rPr>
        <w:t xml:space="preserve">Las 35 tablas con updated_at tienen su trigger, verificado por una comprobación que falla si alguna queda sin él.</w:t>
      </w:r>
    </w:p>
    <w:p>
      <w:pPr>
        <w:pStyle w:val="ListParagraph"/>
        <w:numPr>
          <w:ilvl w:val="0"/>
          <w:numId w:val="1"/>
        </w:numPr>
        <w:spacing w:after="90" w:line="276"/>
      </w:pPr>
      <w:r>
        <w:rPr>
          <w:sz w:val="21"/>
          <w:szCs w:val="21"/>
        </w:rPr>
        <w:t xml:space="preserve">Los catálogos vital_types, features, specialties y limit_keys usan su code como clave, porque es estable y legible.</w:t>
      </w:r>
    </w:p>
    <w:p>
      <w:pPr>
        <w:pStyle w:val="Heading1"/>
        <w:spacing w:after="160" w:before="320"/>
      </w:pPr>
      <w:r>
        <w:rPr>
          <w:b/>
          <w:bCs/>
          <w:color w:val="1B4965"/>
          <w:sz w:val="30"/>
          <w:szCs w:val="30"/>
        </w:rPr>
        <w:t xml:space="preserve">7. Lo que queda abierto</w:t>
      </w:r>
    </w:p>
    <w:p>
      <w:pPr>
        <w:spacing w:after="120" w:before="0" w:line="276"/>
      </w:pPr>
      <w:r>
        <w:rPr>
          <w:color w:val="1A1A1A"/>
          <w:sz w:val="21"/>
          <w:szCs w:val="21"/>
        </w:rPr>
        <w:t xml:space="preserve">Por honestidad del informe, tres puntos que el equipo debe resolver y que no son de normalización.</w:t>
      </w:r>
    </w:p>
    <w:p>
      <w:pPr>
        <w:pStyle w:val="ListParagraph"/>
        <w:numPr>
          <w:ilvl w:val="0"/>
          <w:numId w:val="1"/>
        </w:numPr>
        <w:spacing w:after="90" w:line="276"/>
      </w:pPr>
      <w:r>
        <w:rPr>
          <w:sz w:val="21"/>
          <w:szCs w:val="21"/>
        </w:rPr>
        <w:t xml:space="preserve">music_creations.file_id y creation_shares quedaron resueltos en esta versión, pero el bloque 8 todavía depende de que la aplicación respete el ámbito de archivo al subir contenido.</w:t>
      </w:r>
    </w:p>
    <w:p>
      <w:pPr>
        <w:pStyle w:val="ListParagraph"/>
        <w:numPr>
          <w:ilvl w:val="0"/>
          <w:numId w:val="1"/>
        </w:numPr>
        <w:spacing w:after="90" w:line="276"/>
      </w:pPr>
      <w:r>
        <w:rPr>
          <w:sz w:val="21"/>
          <w:szCs w:val="21"/>
        </w:rPr>
        <w:t xml:space="preserve">RF-31, la receta fotografiada con OCR, y RF-80 a RF-82, el funcionamiento sin conexión, no tienen tablas en el modelo. Están declarados en la ERS como etapa posterior.</w:t>
      </w:r>
    </w:p>
    <w:p>
      <w:pPr>
        <w:pStyle w:val="ListParagraph"/>
        <w:numPr>
          <w:ilvl w:val="0"/>
          <w:numId w:val="1"/>
        </w:numPr>
        <w:spacing w:after="90" w:line="276"/>
      </w:pPr>
      <w:r>
        <w:rPr>
          <w:sz w:val="21"/>
          <w:szCs w:val="21"/>
        </w:rPr>
        <w:t xml:space="preserve">El diccionario de datos y el diagrama entidad-relación describen una versión anterior del modelo y deben regenerarse sobre las 65 tablas.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AgeCare — Normalización hasta 3FN</dc:title>
  <dc:creator>Juan Mora</dc:creator>
  <dc:description>Análisis y corrección de normalización del modelo de datos de AgeCare</dc:description>
  <cp:lastModifiedBy>Un-named</cp:lastModifiedBy>
  <cp:revision>1</cp:revision>
  <dcterms:created xsi:type="dcterms:W3CDTF">2026-10-29T02:07:25.576Z</dcterms:created>
  <dcterms:modified xsi:type="dcterms:W3CDTF">2026-10-29T02:07:25.576Z</dcterms:modified>
</cp:coreProperties>
</file>

<file path=docProps/custom.xml><?xml version="1.0" encoding="utf-8"?>
<Properties xmlns="http://schemas.openxmlformats.org/officeDocument/2006/custom-properties" xmlns:vt="http://schemas.openxmlformats.org/officeDocument/2006/docPropsVTypes"/>
</file>