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before="0" w:lineRule="auto"/>
        <w:jc w:val="center"/>
        <w:rPr/>
      </w:pPr>
      <w:r w:rsidDel="00000000" w:rsidR="00000000" w:rsidRPr="00000000">
        <w:rPr>
          <w:rtl w:val="0"/>
        </w:rPr>
        <w:t xml:space="preserve">Duoc UC · Escuela de Informática y Telecomunicaciones</w:t>
      </w:r>
    </w:p>
    <w:p w:rsidR="00000000" w:rsidDel="00000000" w:rsidP="00000000" w:rsidRDefault="00000000" w:rsidRPr="00000000" w14:paraId="0000000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lineRule="auto"/>
        <w:jc w:val="center"/>
        <w:rPr/>
      </w:pPr>
      <w:r w:rsidDel="00000000" w:rsidR="00000000" w:rsidRPr="00000000">
        <w:rPr>
          <w:rtl w:val="0"/>
        </w:rPr>
        <w:t xml:space="preserve">Ingeniería en Informática · Sede San Andrés de Concepción</w:t>
      </w:r>
    </w:p>
    <w:p w:rsidR="00000000" w:rsidDel="00000000" w:rsidP="00000000" w:rsidRDefault="00000000" w:rsidRPr="00000000" w14:paraId="00000003">
      <w:pPr>
        <w:spacing w:after="1000" w:before="0" w:lineRule="auto"/>
        <w:jc w:val="center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4">
      <w:pPr>
        <w:pStyle w:val="Title"/>
        <w:spacing w:after="100" w:before="0" w:lineRule="auto"/>
        <w:jc w:val="center"/>
        <w:rPr/>
      </w:pPr>
      <w:bookmarkStart w:colFirst="0" w:colLast="0" w:name="_heading=h.31vav0ccntxx" w:id="0"/>
      <w:bookmarkEnd w:id="0"/>
      <w:r w:rsidDel="00000000" w:rsidR="00000000" w:rsidRPr="00000000">
        <w:rPr>
          <w:rtl w:val="0"/>
        </w:rPr>
        <w:t xml:space="preserve">AgeCare</w:t>
      </w:r>
    </w:p>
    <w:p w:rsidR="00000000" w:rsidDel="00000000" w:rsidP="00000000" w:rsidRDefault="00000000" w:rsidRPr="00000000" w14:paraId="00000005">
      <w:pPr>
        <w:spacing w:after="760" w:before="0" w:lineRule="auto"/>
        <w:jc w:val="center"/>
        <w:rPr/>
      </w:pPr>
      <w:r w:rsidDel="00000000" w:rsidR="00000000" w:rsidRPr="00000000">
        <w:rPr>
          <w:rtl w:val="0"/>
        </w:rPr>
        <w:t xml:space="preserve">Plataforma digital integral de cuidado de adultos mayores</w:t>
      </w:r>
    </w:p>
    <w:p w:rsidR="00000000" w:rsidDel="00000000" w:rsidP="00000000" w:rsidRDefault="00000000" w:rsidRPr="00000000" w14:paraId="00000006">
      <w:pPr>
        <w:spacing w:after="60" w:before="0" w:lineRule="auto"/>
        <w:jc w:val="center"/>
        <w:rPr/>
      </w:pPr>
      <w:r w:rsidDel="00000000" w:rsidR="00000000" w:rsidRPr="00000000">
        <w:rPr>
          <w:rtl w:val="0"/>
        </w:rPr>
        <w:t xml:space="preserve">Informe de Avance — Fase 2</w:t>
      </w:r>
    </w:p>
    <w:p w:rsidR="00000000" w:rsidDel="00000000" w:rsidP="00000000" w:rsidRDefault="00000000" w:rsidRPr="00000000" w14:paraId="00000007">
      <w:pPr>
        <w:spacing w:after="840" w:before="0" w:lineRule="auto"/>
        <w:jc w:val="center"/>
        <w:rPr/>
      </w:pPr>
      <w:r w:rsidDel="00000000" w:rsidR="00000000" w:rsidRPr="00000000">
        <w:rPr>
          <w:rtl w:val="0"/>
        </w:rPr>
        <w:t xml:space="preserve">Guía 2. Desarrollo del Proyecto APT</w:t>
      </w:r>
    </w:p>
    <w:p w:rsidR="00000000" w:rsidDel="00000000" w:rsidP="00000000" w:rsidRDefault="00000000" w:rsidRPr="00000000" w14:paraId="00000008">
      <w:pPr>
        <w:spacing w:after="60" w:before="0" w:lineRule="auto"/>
        <w:jc w:val="center"/>
        <w:rPr/>
      </w:pPr>
      <w:r w:rsidDel="00000000" w:rsidR="00000000" w:rsidRPr="00000000">
        <w:rPr>
          <w:rtl w:val="0"/>
        </w:rPr>
        <w:t xml:space="preserve">Asignatura: Capstone · PTY4614</w:t>
      </w:r>
    </w:p>
    <w:p w:rsidR="00000000" w:rsidDel="00000000" w:rsidP="00000000" w:rsidRDefault="00000000" w:rsidRPr="00000000" w14:paraId="00000009">
      <w:pPr>
        <w:spacing w:after="60" w:before="0" w:lineRule="auto"/>
        <w:jc w:val="center"/>
        <w:rPr/>
      </w:pPr>
      <w:r w:rsidDel="00000000" w:rsidR="00000000" w:rsidRPr="00000000">
        <w:rPr>
          <w:rtl w:val="0"/>
        </w:rPr>
        <w:t xml:space="preserve">Metodología: Enfoque tradicional (cascada)</w:t>
      </w:r>
    </w:p>
    <w:p w:rsidR="00000000" w:rsidDel="00000000" w:rsidP="00000000" w:rsidRDefault="00000000" w:rsidRPr="00000000" w14:paraId="0000000A">
      <w:pPr>
        <w:spacing w:after="720" w:before="0" w:lineRule="auto"/>
        <w:jc w:val="center"/>
        <w:rPr/>
      </w:pPr>
      <w:r w:rsidDel="00000000" w:rsidR="00000000" w:rsidRPr="00000000">
        <w:rPr>
          <w:rtl w:val="0"/>
        </w:rPr>
        <w:t xml:space="preserve">Empresa contraparte: Alloxentric</w:t>
      </w:r>
    </w:p>
    <w:p w:rsidR="00000000" w:rsidDel="00000000" w:rsidP="00000000" w:rsidRDefault="00000000" w:rsidRPr="00000000" w14:paraId="0000000B">
      <w:pPr>
        <w:spacing w:after="100" w:before="0" w:lineRule="auto"/>
        <w:jc w:val="center"/>
        <w:rPr/>
      </w:pPr>
      <w:r w:rsidDel="00000000" w:rsidR="00000000" w:rsidRPr="00000000">
        <w:rPr>
          <w:rtl w:val="0"/>
        </w:rPr>
        <w:t xml:space="preserve">EQUIPO</w:t>
      </w:r>
    </w:p>
    <w:p w:rsidR="00000000" w:rsidDel="00000000" w:rsidP="00000000" w:rsidRDefault="00000000" w:rsidRPr="00000000" w14:paraId="0000000C">
      <w:pPr>
        <w:spacing w:after="40" w:before="0" w:lineRule="auto"/>
        <w:jc w:val="center"/>
        <w:rPr/>
      </w:pPr>
      <w:r w:rsidDel="00000000" w:rsidR="00000000" w:rsidRPr="00000000">
        <w:rPr>
          <w:rtl w:val="0"/>
        </w:rPr>
        <w:t xml:space="preserve">Javier Cerna Chávez</w:t>
      </w:r>
    </w:p>
    <w:p w:rsidR="00000000" w:rsidDel="00000000" w:rsidP="00000000" w:rsidRDefault="00000000" w:rsidRPr="00000000" w14:paraId="0000000D">
      <w:pPr>
        <w:spacing w:after="40" w:before="0" w:lineRule="auto"/>
        <w:jc w:val="center"/>
        <w:rPr/>
      </w:pPr>
      <w:r w:rsidDel="00000000" w:rsidR="00000000" w:rsidRPr="00000000">
        <w:rPr>
          <w:rtl w:val="0"/>
        </w:rPr>
        <w:t xml:space="preserve">Benjamín Andrés Camus Jara</w:t>
      </w:r>
    </w:p>
    <w:p w:rsidR="00000000" w:rsidDel="00000000" w:rsidP="00000000" w:rsidRDefault="00000000" w:rsidRPr="00000000" w14:paraId="0000000E">
      <w:pPr>
        <w:spacing w:after="540" w:before="0" w:lineRule="auto"/>
        <w:jc w:val="center"/>
        <w:rPr/>
      </w:pPr>
      <w:r w:rsidDel="00000000" w:rsidR="00000000" w:rsidRPr="00000000">
        <w:rPr>
          <w:rtl w:val="0"/>
        </w:rPr>
        <w:t xml:space="preserve">Juan Pablo Mora Rosales</w:t>
      </w:r>
    </w:p>
    <w:p w:rsidR="00000000" w:rsidDel="00000000" w:rsidP="00000000" w:rsidRDefault="00000000" w:rsidRPr="00000000" w14:paraId="0000000F">
      <w:pPr>
        <w:spacing w:after="100" w:before="0" w:lineRule="auto"/>
        <w:jc w:val="center"/>
        <w:rPr/>
      </w:pPr>
      <w:r w:rsidDel="00000000" w:rsidR="00000000" w:rsidRPr="00000000">
        <w:rPr>
          <w:rtl w:val="0"/>
        </w:rPr>
        <w:t xml:space="preserve">DOCENTES</w:t>
      </w:r>
    </w:p>
    <w:p w:rsidR="00000000" w:rsidDel="00000000" w:rsidP="00000000" w:rsidRDefault="00000000" w:rsidRPr="00000000" w14:paraId="00000010">
      <w:pPr>
        <w:spacing w:after="40" w:before="0" w:lineRule="auto"/>
        <w:jc w:val="center"/>
        <w:rPr/>
      </w:pPr>
      <w:r w:rsidDel="00000000" w:rsidR="00000000" w:rsidRPr="00000000">
        <w:rPr>
          <w:rtl w:val="0"/>
        </w:rPr>
        <w:t xml:space="preserve">Jazna Patricia Meza Hidalgo</w:t>
      </w:r>
    </w:p>
    <w:p w:rsidR="00000000" w:rsidDel="00000000" w:rsidP="00000000" w:rsidRDefault="00000000" w:rsidRPr="00000000" w14:paraId="00000011">
      <w:pPr>
        <w:spacing w:after="720" w:before="0" w:lineRule="auto"/>
        <w:jc w:val="center"/>
        <w:rPr/>
      </w:pPr>
      <w:r w:rsidDel="00000000" w:rsidR="00000000" w:rsidRPr="00000000">
        <w:rPr>
          <w:rtl w:val="0"/>
        </w:rPr>
        <w:t xml:space="preserve">Juan Pablo Mellado Alarcón</w:t>
      </w:r>
    </w:p>
    <w:p w:rsidR="00000000" w:rsidDel="00000000" w:rsidP="00000000" w:rsidRDefault="00000000" w:rsidRPr="00000000" w14:paraId="00000012">
      <w:pPr>
        <w:spacing w:before="0" w:lineRule="auto"/>
        <w:jc w:val="center"/>
        <w:rPr/>
      </w:pPr>
      <w:r w:rsidDel="00000000" w:rsidR="00000000" w:rsidRPr="00000000">
        <w:rPr>
          <w:rtl w:val="0"/>
        </w:rPr>
        <w:t xml:space="preserve">Concepción, 4 de octubre de 2026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rPr>
          <w:color w:val="000000"/>
        </w:rPr>
      </w:pPr>
      <w:bookmarkStart w:colFirst="0" w:colLast="0" w:name="_heading=h.psxlui1h7jqj" w:id="1"/>
      <w:bookmarkEnd w:id="1"/>
      <w:r w:rsidDel="00000000" w:rsidR="00000000" w:rsidRPr="00000000">
        <w:rPr>
          <w:color w:val="000000"/>
          <w:rtl w:val="0"/>
        </w:rPr>
        <w:t xml:space="preserve">INDICE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sdt>
      <w:sdtPr>
        <w:id w:val="-194667173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psxlui1h7jqj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INDICE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Guía 2. Desarrollo Proyecto APT — Informe de Avance (Fase 2)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Resumen de avance del Proyecto APT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Objetivos (ajuste)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Metodología (ajuste)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Evidencias de avance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Monitoreo del Plan de Trabajo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Ajustes a partir del monitoreo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Factores que han facilitado y/o dificultado el desarrollo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Actividades ajustadas o eliminadas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Actividades no iniciadas o retrasadas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Pendiente de consolidación en el repositorio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Síntesis de congruencia con la Fase 1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3">
      <w:pPr>
        <w:pStyle w:val="Heading1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spacing w:before="0" w:lineRule="auto"/>
        <w:jc w:val="center"/>
        <w:rPr/>
      </w:pPr>
      <w:bookmarkStart w:colFirst="0" w:colLast="0" w:name="_heading=h.7o4gsj769o9y" w:id="2"/>
      <w:bookmarkEnd w:id="2"/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5">
      <w:pPr>
        <w:pStyle w:val="Heading1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rPr/>
      </w:pPr>
      <w:r w:rsidDel="00000000" w:rsidR="00000000" w:rsidRPr="00000000">
        <w:rPr>
          <w:rtl w:val="0"/>
        </w:rPr>
        <w:t xml:space="preserve">Guía 2. Desarrollo Proyecto APT — Informe de Avance (Fase 2)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b w:val="1"/>
          <w:bCs w:val="1"/>
          <w:rtl w:val="0"/>
        </w:rPr>
        <w:t xml:space="preserve">Repositorio:</w:t>
      </w:r>
      <w:r w:rsidDel="00000000" w:rsidR="00000000" w:rsidRPr="00000000">
        <w:rPr>
          <w:rtl w:val="0"/>
        </w:rPr>
        <w:t xml:space="preserve"> https://github.com/juanmorar/agecare-backend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b w:val="1"/>
          <w:bCs w:val="1"/>
          <w:rtl w:val="0"/>
        </w:rPr>
        <w:t xml:space="preserve">API desplegada (evidencia en vivo):</w:t>
      </w:r>
      <w:r w:rsidDel="00000000" w:rsidR="00000000" w:rsidRPr="00000000">
        <w:rPr>
          <w:rtl w:val="0"/>
        </w:rPr>
        <w:t xml:space="preserve"> https://agecare-api.javiercerna.dev/docs</w:t>
      </w:r>
    </w:p>
    <w:p w:rsidR="00000000" w:rsidDel="00000000" w:rsidP="00000000" w:rsidRDefault="00000000" w:rsidRPr="00000000" w14:paraId="00000034">
      <w:pPr>
        <w:pBdr>
          <w:bottom w:color="a0a0a0" w:space="1" w:sz="6" w:val="single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2"/>
        <w:rPr/>
      </w:pPr>
      <w:r w:rsidDel="00000000" w:rsidR="00000000" w:rsidRPr="00000000">
        <w:rPr>
          <w:rtl w:val="0"/>
        </w:rPr>
        <w:t xml:space="preserve">1. Resumen de avance del Proyecto APT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Durante esta fase el equipo ejecuta las etapas de </w:t>
      </w:r>
      <w:r w:rsidDel="00000000" w:rsidR="00000000" w:rsidRPr="00000000">
        <w:rPr>
          <w:b w:val="1"/>
          <w:bCs w:val="1"/>
          <w:rtl w:val="0"/>
        </w:rPr>
        <w:t xml:space="preserve">Análisis y Definición de Requisitos</w:t>
      </w:r>
      <w:r w:rsidDel="00000000" w:rsidR="00000000" w:rsidRPr="00000000">
        <w:rPr>
          <w:rtl w:val="0"/>
        </w:rPr>
        <w:t xml:space="preserve"> y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b w:val="1"/>
          <w:bCs w:val="1"/>
          <w:rtl w:val="0"/>
        </w:rPr>
        <w:t xml:space="preserve">Diseño del Sistema</w:t>
      </w:r>
      <w:r w:rsidDel="00000000" w:rsidR="00000000" w:rsidRPr="00000000">
        <w:rPr>
          <w:rtl w:val="0"/>
        </w:rPr>
        <w:t xml:space="preserve"> del plan en cascada, y dio inicio a la </w:t>
      </w:r>
      <w:r w:rsidDel="00000000" w:rsidR="00000000" w:rsidRPr="00000000">
        <w:rPr>
          <w:b w:val="1"/>
          <w:bCs w:val="1"/>
          <w:rtl w:val="0"/>
        </w:rPr>
        <w:t xml:space="preserve">implementación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b w:val="1"/>
          <w:bCs w:val="1"/>
          <w:rtl w:val="0"/>
        </w:rPr>
        <w:t xml:space="preserve">Alcance del proyecto y su doble contexto.</w:t>
      </w:r>
      <w:r w:rsidDel="00000000" w:rsidR="00000000" w:rsidRPr="00000000">
        <w:rPr>
          <w:rtl w:val="0"/>
        </w:rPr>
        <w:t xml:space="preserve"> El Proyecto APT se desarrolla como una **solución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full stack** completa (backend en Fast API + base de datos PostgreSQL + aplicación móvil en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Flutter con las vistas de los tres roles), tal como lo exige el perfil de egreso y lo refleja el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cronograma en cascada de la Fase 1 (etapas de backend en S7–S11 y de frontend móvil en S12–S14).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Este alcance full stack es el que se entrega y evalúa en el marco académico de DUOC UC.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En paralelo, el equipo colabora con la empresa </w:t>
      </w:r>
      <w:r w:rsidDel="00000000" w:rsidR="00000000" w:rsidRPr="00000000">
        <w:rPr>
          <w:b w:val="1"/>
          <w:bCs w:val="1"/>
          <w:rtl w:val="0"/>
        </w:rPr>
        <w:t xml:space="preserve">Alloxentric</w:t>
      </w:r>
      <w:r w:rsidDel="00000000" w:rsidR="00000000" w:rsidRPr="00000000">
        <w:rPr>
          <w:rtl w:val="0"/>
        </w:rPr>
        <w:t xml:space="preserve"> —de la cual proviene la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especificación funcional del producto—, aportando principalmente el desarrollo del **backend y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la base de datos** que dan servicio a todos los roles. Esta relación con una contraparte real es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la que justifica dos decisiones de Fase 1: el uso de una </w:t>
      </w:r>
      <w:r w:rsidDel="00000000" w:rsidR="00000000" w:rsidRPr="00000000">
        <w:rPr>
          <w:b w:val="1"/>
          <w:bCs w:val="1"/>
          <w:rtl w:val="0"/>
        </w:rPr>
        <w:t xml:space="preserve">metodología en cascada</w:t>
      </w:r>
      <w:r w:rsidDel="00000000" w:rsidR="00000000" w:rsidRPr="00000000">
        <w:rPr>
          <w:rtl w:val="0"/>
        </w:rPr>
        <w:t xml:space="preserve"> (los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requisitos llegan estables y documentados desde la empresa) y el </w:t>
      </w:r>
      <w:r w:rsidDel="00000000" w:rsidR="00000000" w:rsidRPr="00000000">
        <w:rPr>
          <w:b w:val="1"/>
          <w:bCs w:val="1"/>
          <w:rtl w:val="0"/>
        </w:rPr>
        <w:t xml:space="preserve">cronograma secuencial</w:t>
      </w:r>
      <w:r w:rsidDel="00000000" w:rsidR="00000000" w:rsidRPr="00000000">
        <w:rPr>
          <w:rtl w:val="0"/>
        </w:rPr>
        <w:t xml:space="preserve"> que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primero asienta el núcleo de datos y backend, y luego construye la capa de presentación.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El avance de esta fecha se concentra, por tanto, en las capas de </w:t>
      </w:r>
      <w:r w:rsidDel="00000000" w:rsidR="00000000" w:rsidRPr="00000000">
        <w:rPr>
          <w:b w:val="1"/>
          <w:bCs w:val="1"/>
          <w:rtl w:val="0"/>
        </w:rPr>
        <w:t xml:space="preserve">datos y backend</w:t>
      </w:r>
      <w:r w:rsidDel="00000000" w:rsidR="00000000" w:rsidRPr="00000000">
        <w:rPr>
          <w:rtl w:val="0"/>
        </w:rPr>
        <w:t xml:space="preserve"> —la base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sobre la que se levantará el frontend en las etapas siguientes del cronograma—, sin que ello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reduzca el alcance full stack comprometido para el cierre del proyecto.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Concretamente, se completaron las siguientes actividades: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Levantamiento y consolidación de requisitos (ERS simplificado):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 formalizaron 82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requisitos funcionales (RF-01 a RF-82) y 25 requisitos no funcionales (RNF-01 a RNF-25),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además de 7 casos de uso. Este documento es el contrato de alcance del proyecto.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Diseño del modelo de datos definitivo: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 diseñó e implementó en PostgreSQL un modelo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relacional normalizado hasta la Segunda Forma Normal (2FN), compuesto por 24 tablas, con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integridad referencial completa, restricciones de dominio (CHECK), índices, triggers y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particionamiento por tiempo para la telemetría de signos vitales.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Implementación del núcleo de salud (backend):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 desarrolló la API REST en FastAPI con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los módulos de autenticación, pacientes y círculo de cuidado, signos vitales y semáforo,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medicamentos y adherencia, y alertas/emergencias.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Despliegue en infraestructura real: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API se encuentra publicada y accesible mediante un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dominio propio con túnel Cloudflare y documentación interactiva (OpenAPI/Swagger).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Análisis de realidad y endurecimiento del modelo: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 realizó una revisión de ingeniería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que anticipa escenarios del mundo real (fallo del wearable, registro tardío de dosis,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trazabilidad de responsabilidad), incorporando tablas de auditoría, parámetros de sistema,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historización del bienestar y soporte del modelo freemium.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Objetivos específicos cumplidos a la fecha</w:t>
      </w:r>
      <w:r w:rsidDel="00000000" w:rsidR="00000000" w:rsidRPr="00000000">
        <w:rPr>
          <w:rtl w:val="0"/>
        </w:rPr>
        <w:t xml:space="preserve"> (según los definidos en Fase 1, basados en el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ERS de Alloxentric):</w:t>
      </w:r>
    </w:p>
    <w:tbl>
      <w:tblPr>
        <w:tblStyle w:val="Table1"/>
        <w:tblW w:w="8640.0" w:type="dxa"/>
        <w:jc w:val="center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>
            <w:shd w:fill="2e5a88" w:val="clear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Objetivo específico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a88" w:val="clea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a88" w:val="clear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Evidencia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OE-1 Expediente único y semáforo de bienestar multi-paciente</w:t>
            </w:r>
          </w:p>
        </w:tc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✅ Núcleo cubierto</w:t>
            </w:r>
          </w:p>
        </w:tc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Tablas </w:t>
            </w:r>
            <w:r w:rsidDel="00000000" w:rsidR="00000000" w:rsidRPr="00000000">
              <w:rPr>
                <w:rFonts w:ascii="Consolas" w:cs="Consolas" w:eastAsia="Consolas" w:hAnsi="Consolas"/>
                <w:color w:val="c7254e"/>
                <w:sz w:val="18"/>
                <w:szCs w:val="18"/>
                <w:rtl w:val="0"/>
              </w:rPr>
              <w:t xml:space="preserve">patients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c7254e"/>
                <w:sz w:val="18"/>
                <w:szCs w:val="18"/>
                <w:rtl w:val="0"/>
              </w:rPr>
              <w:t xml:space="preserve">vital_readings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c7254e"/>
                <w:sz w:val="18"/>
                <w:szCs w:val="18"/>
                <w:rtl w:val="0"/>
              </w:rPr>
              <w:t xml:space="preserve">wellbeing_snapshots</w:t>
            </w:r>
            <w:r w:rsidDel="00000000" w:rsidR="00000000" w:rsidRPr="00000000">
              <w:rPr>
                <w:rtl w:val="0"/>
              </w:rPr>
              <w:t xml:space="preserve">; endpoints de vitals y semáforo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OE-2 Alertas en tiempo real y botón de emergencia</w:t>
            </w:r>
          </w:p>
        </w:tc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✅ Cubierto</w:t>
            </w:r>
          </w:p>
        </w:tc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Módulo 9 (alertas, SOS), tablas </w:t>
            </w:r>
            <w:r w:rsidDel="00000000" w:rsidR="00000000" w:rsidRPr="00000000">
              <w:rPr>
                <w:rFonts w:ascii="Consolas" w:cs="Consolas" w:eastAsia="Consolas" w:hAnsi="Consolas"/>
                <w:color w:val="c7254e"/>
                <w:sz w:val="18"/>
                <w:szCs w:val="18"/>
                <w:rtl w:val="0"/>
              </w:rPr>
              <w:t xml:space="preserve">alerts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c7254e"/>
                <w:sz w:val="18"/>
                <w:szCs w:val="18"/>
                <w:rtl w:val="0"/>
              </w:rPr>
              <w:t xml:space="preserve">alert_deliveries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c7254e"/>
                <w:sz w:val="18"/>
                <w:szCs w:val="18"/>
                <w:rtl w:val="0"/>
              </w:rPr>
              <w:t xml:space="preserve">sos_events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OE-3 Ciclo completo de medicación y adherencia</w:t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✅ Cubierto (OCR pendiente)</w:t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Módulo 6, tablas </w:t>
            </w:r>
            <w:r w:rsidDel="00000000" w:rsidR="00000000" w:rsidRPr="00000000">
              <w:rPr>
                <w:rFonts w:ascii="Consolas" w:cs="Consolas" w:eastAsia="Consolas" w:hAnsi="Consolas"/>
                <w:color w:val="c7254e"/>
                <w:sz w:val="18"/>
                <w:szCs w:val="18"/>
                <w:rtl w:val="0"/>
              </w:rPr>
              <w:t xml:space="preserve">medications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c7254e"/>
                <w:sz w:val="18"/>
                <w:szCs w:val="18"/>
                <w:rtl w:val="0"/>
              </w:rPr>
              <w:t xml:space="preserve">scheduled_doses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OE-4 Comunicación y asistente IA</w:t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⏳ Fase 2 (etapa posterior)</w:t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Declarado y trazado en el ERS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OE-5 Experiencia del adulto mayor (incl. Director Musical)</w:t>
            </w:r>
          </w:p>
        </w:tc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⏳ Fase 2 (etapa posterior)</w:t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Declarado; depende de servicios de Alloxentric</w:t>
            </w:r>
          </w:p>
        </w:tc>
      </w:tr>
    </w:tbl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El avance se concentró en el </w:t>
      </w:r>
      <w:r w:rsidDel="00000000" w:rsidR="00000000" w:rsidRPr="00000000">
        <w:rPr>
          <w:b w:val="1"/>
          <w:bCs w:val="1"/>
          <w:rtl w:val="0"/>
        </w:rPr>
        <w:t xml:space="preserve">núcleo de salud</w:t>
      </w:r>
      <w:r w:rsidDel="00000000" w:rsidR="00000000" w:rsidRPr="00000000">
        <w:rPr>
          <w:rtl w:val="0"/>
        </w:rPr>
        <w:t xml:space="preserve"> (RF-01 a RF-33 y RF-44 a RF-52), que es la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prioridad del proyecto y la base sobre la cual se construyen los módulos restantes.</w:t>
      </w:r>
    </w:p>
    <w:p w:rsidR="00000000" w:rsidDel="00000000" w:rsidP="00000000" w:rsidRDefault="00000000" w:rsidRPr="00000000" w14:paraId="0000006F">
      <w:pPr>
        <w:pStyle w:val="Heading3"/>
        <w:rPr/>
      </w:pPr>
      <w:r w:rsidDel="00000000" w:rsidR="00000000" w:rsidRPr="00000000">
        <w:rPr>
          <w:rtl w:val="0"/>
        </w:rPr>
        <w:t xml:space="preserve">Objetivos (ajuste)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No se realizaron ajustes a los objetivos definidos en la Fase 1. Los objetivos general y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específicos se mantienen íntegros, ya que el alcance provino de una especificación estable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entregada por la contraparte. </w:t>
      </w:r>
      <w:r w:rsidDel="00000000" w:rsidR="00000000" w:rsidRPr="00000000">
        <w:rPr>
          <w:b w:val="1"/>
          <w:bCs w:val="1"/>
          <w:rtl w:val="0"/>
        </w:rPr>
        <w:t xml:space="preserve">Se conserva la decisión de Fase 1</w:t>
      </w:r>
      <w:r w:rsidDel="00000000" w:rsidR="00000000" w:rsidRPr="00000000">
        <w:rPr>
          <w:rtl w:val="0"/>
        </w:rPr>
        <w:t xml:space="preserve"> de documentar las métricas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cuantitativas de los objetivos (reducción de tiempos de respuesta, adherencia, adopción,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conversión y disponibilidad) con </w:t>
      </w:r>
      <w:r w:rsidDel="00000000" w:rsidR="00000000" w:rsidRPr="00000000">
        <w:rPr>
          <w:b w:val="1"/>
          <w:bCs w:val="1"/>
          <w:rtl w:val="0"/>
        </w:rPr>
        <w:t xml:space="preserve">orientación de análisis de negocio</w:t>
      </w:r>
      <w:r w:rsidDel="00000000" w:rsidR="00000000" w:rsidRPr="00000000">
        <w:rPr>
          <w:rtl w:val="0"/>
        </w:rPr>
        <w:t xml:space="preserve">: representan la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proyección del producto en operación real a futuro, no métricas medibles dentro del alcance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académico del proyecto de título.</w:t>
      </w:r>
    </w:p>
    <w:p w:rsidR="00000000" w:rsidDel="00000000" w:rsidP="00000000" w:rsidRDefault="00000000" w:rsidRPr="00000000" w14:paraId="00000077">
      <w:pPr>
        <w:pStyle w:val="Heading3"/>
        <w:rPr/>
      </w:pPr>
      <w:r w:rsidDel="00000000" w:rsidR="00000000" w:rsidRPr="00000000">
        <w:rPr>
          <w:rtl w:val="0"/>
        </w:rPr>
        <w:t xml:space="preserve">Metodología (ajuste)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No se realizaron ajustes a la metodología. Se mantiene el </w:t>
      </w:r>
      <w:r w:rsidDel="00000000" w:rsidR="00000000" w:rsidRPr="00000000">
        <w:rPr>
          <w:b w:val="1"/>
          <w:bCs w:val="1"/>
          <w:rtl w:val="0"/>
        </w:rPr>
        <w:t xml:space="preserve">Enfoque Tradicional (Cascada)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definido en Fase 1, con sus cinco etapas secuenciales (Análisis → Diseño → Implementación →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Pruebas → Despliegue). La naturaleza del proyecto —requisitos estables y documentación rigurosa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exigida académicamente— sigue justificando este enfoque. Internamente, y de forma transparente,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el equipo coordina sus entregas con la empresa en ciclos cortos; sin embargo, el marco formal de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titulación y de este informe es Cascada, y así se reporta el avance.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4" w:val="single"/>
          <w:right w:space="0" w:sz="0" w:val="nil"/>
          <w:between w:space="0" w:sz="0" w:val="nil"/>
        </w:pBdr>
        <w:shd w:fill="auto" w:val="clear"/>
        <w:spacing w:after="280" w:before="200" w:line="276" w:lineRule="auto"/>
        <w:ind w:left="936" w:right="936" w:firstLine="0"/>
        <w:jc w:val="left"/>
        <w:rPr>
          <w:rFonts w:ascii="Calibri" w:cs="Calibri" w:eastAsia="Calibri" w:hAnsi="Calibri"/>
          <w:b w:val="1"/>
          <w:bCs w:val="1"/>
          <w:i w:val="1"/>
          <w:iCs w:val="1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  <w:rtl w:val="0"/>
        </w:rPr>
        <w:t xml:space="preserve">Nota de corrección respecto a Fase 1: en la Guía 1 se describió la persistencia como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4" w:val="single"/>
          <w:right w:space="0" w:sz="0" w:val="nil"/>
          <w:between w:space="0" w:sz="0" w:val="nil"/>
        </w:pBdr>
        <w:shd w:fill="auto" w:val="clear"/>
        <w:spacing w:after="280" w:before="200" w:line="276" w:lineRule="auto"/>
        <w:ind w:left="936" w:right="936" w:firstLine="0"/>
        <w:jc w:val="left"/>
        <w:rPr>
          <w:rFonts w:ascii="Calibri" w:cs="Calibri" w:eastAsia="Calibri" w:hAnsi="Calibri"/>
          <w:b w:val="1"/>
          <w:bCs w:val="1"/>
          <w:i w:val="1"/>
          <w:iCs w:val="1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  <w:rtl w:val="0"/>
        </w:rPr>
        <w:t xml:space="preserve">"híbrida / relacional y documental". Tras el diseño definitivo se corrigió esa descripción: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4" w:val="single"/>
          <w:right w:space="0" w:sz="0" w:val="nil"/>
          <w:between w:space="0" w:sz="0" w:val="nil"/>
        </w:pBdr>
        <w:shd w:fill="auto" w:val="clear"/>
        <w:spacing w:after="280" w:before="200" w:line="276" w:lineRule="auto"/>
        <w:ind w:left="936" w:right="936" w:firstLine="0"/>
        <w:jc w:val="left"/>
        <w:rPr>
          <w:rFonts w:ascii="Calibri" w:cs="Calibri" w:eastAsia="Calibri" w:hAnsi="Calibri"/>
          <w:b w:val="1"/>
          <w:bCs w:val="1"/>
          <w:i w:val="1"/>
          <w:iCs w:val="1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  <w:rtl w:val="0"/>
        </w:rPr>
        <w:t xml:space="preserve">el modelo es íntegramente relacional en PostgreSQL, normalizado hasta 2FN. Los pocos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4" w:val="single"/>
          <w:right w:space="0" w:sz="0" w:val="nil"/>
          <w:between w:space="0" w:sz="0" w:val="nil"/>
        </w:pBdr>
        <w:shd w:fill="auto" w:val="clear"/>
        <w:spacing w:after="280" w:before="200" w:line="276" w:lineRule="auto"/>
        <w:ind w:left="936" w:right="936" w:firstLine="0"/>
        <w:jc w:val="left"/>
        <w:rPr>
          <w:rFonts w:ascii="Calibri" w:cs="Calibri" w:eastAsia="Calibri" w:hAnsi="Calibri"/>
          <w:b w:val="1"/>
          <w:bCs w:val="1"/>
          <w:i w:val="1"/>
          <w:iCs w:val="1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  <w:rtl w:val="0"/>
        </w:rPr>
        <w:t xml:space="preserve">campos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1"/>
          <w:iCs w:val="1"/>
          <w:smallCaps w:val="0"/>
          <w:strike w:val="0"/>
          <w:color w:val="c7254e"/>
          <w:sz w:val="18"/>
          <w:szCs w:val="18"/>
          <w:u w:val="none"/>
          <w:shd w:fill="auto" w:val="clear"/>
          <w:vertAlign w:val="baseline"/>
          <w:rtl w:val="0"/>
        </w:rPr>
        <w:t xml:space="preserve">jsonb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  <w:rtl w:val="0"/>
        </w:rPr>
        <w:t xml:space="preserve"> presentes corresponden a atributos de estructura variable y están documentados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4" w:val="single"/>
          <w:right w:space="0" w:sz="0" w:val="nil"/>
          <w:between w:space="0" w:sz="0" w:val="nil"/>
        </w:pBdr>
        <w:shd w:fill="auto" w:val="clear"/>
        <w:spacing w:after="280" w:before="200" w:line="276" w:lineRule="auto"/>
        <w:ind w:left="936" w:right="936" w:firstLine="0"/>
        <w:jc w:val="left"/>
        <w:rPr>
          <w:rFonts w:ascii="Calibri" w:cs="Calibri" w:eastAsia="Calibri" w:hAnsi="Calibri"/>
          <w:b w:val="1"/>
          <w:bCs w:val="1"/>
          <w:i w:val="1"/>
          <w:iCs w:val="1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  <w:rtl w:val="0"/>
        </w:rPr>
        <w:t xml:space="preserve">como excepción justificada. Esta corrección se detalla en el apartado 3.</w:t>
      </w:r>
    </w:p>
    <w:p w:rsidR="00000000" w:rsidDel="00000000" w:rsidP="00000000" w:rsidRDefault="00000000" w:rsidRPr="00000000" w14:paraId="00000083">
      <w:pPr>
        <w:pBdr>
          <w:bottom w:color="a0a0a0" w:space="1" w:sz="6" w:val="single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rPr/>
      </w:pPr>
      <w:r w:rsidDel="00000000" w:rsidR="00000000" w:rsidRPr="00000000">
        <w:rPr>
          <w:rtl w:val="0"/>
        </w:rPr>
        <w:t xml:space="preserve">Evidencias de avance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Las evidencias de esta fase están </w:t>
      </w:r>
      <w:r w:rsidDel="00000000" w:rsidR="00000000" w:rsidRPr="00000000">
        <w:rPr>
          <w:b w:val="1"/>
          <w:bCs w:val="1"/>
          <w:rtl w:val="0"/>
        </w:rPr>
        <w:t xml:space="preserve">todas versionadas en Git</w:t>
      </w:r>
      <w:r w:rsidDel="00000000" w:rsidR="00000000" w:rsidRPr="00000000">
        <w:rPr>
          <w:rtl w:val="0"/>
        </w:rPr>
        <w:t xml:space="preserve"> y, en el caso de la API,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desplegadas y accesibles públicamente. Cada evidencia se eligió por dar cuenta verificable de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una etapa del plan en cascada.</w:t>
      </w:r>
    </w:p>
    <w:tbl>
      <w:tblPr>
        <w:tblStyle w:val="Table2"/>
        <w:tblW w:w="8640.0" w:type="dxa"/>
        <w:jc w:val="center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>
            <w:shd w:fill="2e5a88" w:val="clear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a88" w:val="clear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Evidencia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a88" w:val="clear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Ubicación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a88" w:val="clear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Qué demuestra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E1</w:t>
            </w:r>
          </w:p>
        </w:tc>
        <w:tc>
          <w:tcPr/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Documento de Requerimientos (ERS)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7254e"/>
                <w:sz w:val="18"/>
                <w:szCs w:val="18"/>
                <w:rtl w:val="0"/>
              </w:rPr>
              <w:t xml:space="preserve">docs/Documento de Requerimientos (ERS simplificado).md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Etapa de Análisis: 82 RF, 25 RNF, 7 casos de uso. Contrato de alcance.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E2</w:t>
            </w:r>
          </w:p>
        </w:tc>
        <w:tc>
          <w:tcPr/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Modelo de datos definitivo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7254e"/>
                <w:sz w:val="18"/>
                <w:szCs w:val="18"/>
                <w:rtl w:val="0"/>
              </w:rPr>
              <w:t xml:space="preserve">docs/03_Modelo_de_Datos_Definitivo_v1.md</w:t>
            </w:r>
            <w:r w:rsidDel="00000000" w:rsidR="00000000" w:rsidRPr="00000000">
              <w:rPr>
                <w:rtl w:val="0"/>
              </w:rPr>
              <w:t xml:space="preserve"> + </w:t>
            </w:r>
            <w:r w:rsidDel="00000000" w:rsidR="00000000" w:rsidRPr="00000000">
              <w:rPr>
                <w:rFonts w:ascii="Consolas" w:cs="Consolas" w:eastAsia="Consolas" w:hAnsi="Consolas"/>
                <w:color w:val="c7254e"/>
                <w:sz w:val="18"/>
                <w:szCs w:val="18"/>
                <w:rtl w:val="0"/>
              </w:rPr>
              <w:t xml:space="preserve">sql/*.sql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Etapa de Diseño: 24 tablas, 2FN, integridad referencial.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  <w:t xml:space="preserve">E3</w:t>
            </w:r>
          </w:p>
        </w:tc>
        <w:tc>
          <w:tcPr/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Script SQL ejecutable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7254e"/>
                <w:sz w:val="18"/>
                <w:szCs w:val="18"/>
                <w:rtl w:val="0"/>
              </w:rPr>
              <w:t xml:space="preserve">sql/000_schema_completo.sql</w:t>
            </w:r>
            <w:r w:rsidDel="00000000" w:rsidR="00000000" w:rsidRPr="00000000">
              <w:rPr>
                <w:rtl w:val="0"/>
              </w:rPr>
              <w:t xml:space="preserve"> + 22 scripts numerados</w:t>
            </w:r>
          </w:p>
        </w:tc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Implementación verificable de la BD; reconstruible desde cero.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E4</w:t>
            </w:r>
          </w:p>
        </w:tc>
        <w:tc>
          <w:tcPr/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Diagramas Entidad-Relación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7254e"/>
                <w:sz w:val="18"/>
                <w:szCs w:val="18"/>
                <w:rtl w:val="0"/>
              </w:rPr>
              <w:t xml:space="preserve">docs/ER_AgeCare.dbml</w:t>
            </w:r>
            <w:r w:rsidDel="00000000" w:rsidR="00000000" w:rsidRPr="00000000">
              <w:rPr>
                <w:rtl w:val="0"/>
              </w:rPr>
              <w:t xml:space="preserve"> · </w:t>
            </w:r>
            <w:r w:rsidDel="00000000" w:rsidR="00000000" w:rsidRPr="00000000">
              <w:rPr>
                <w:rFonts w:ascii="Consolas" w:cs="Consolas" w:eastAsia="Consolas" w:hAnsi="Consolas"/>
                <w:color w:val="c7254e"/>
                <w:sz w:val="18"/>
                <w:szCs w:val="18"/>
                <w:rtl w:val="0"/>
              </w:rPr>
              <w:t xml:space="preserve">docs/ER_AgeCare_Mermaid.md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Diseño visual del modelo (dbdiagram.io y Mermaid).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E5</w:t>
            </w:r>
          </w:p>
        </w:tc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API REST desplegada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https://agecare-api.javiercerna.dev/docs</w:t>
            </w:r>
          </w:p>
        </w:tc>
        <w:tc>
          <w:tcPr/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Implementación del backend operando en infraestructura real.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E6</w:t>
            </w:r>
          </w:p>
        </w:tc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Documento de normalización 2FN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7254e"/>
                <w:sz w:val="18"/>
                <w:szCs w:val="18"/>
                <w:rtl w:val="0"/>
              </w:rPr>
              <w:t xml:space="preserve">docs/Normalizacion_2FN_AgeCare.md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Rigor de diseño: 15 hallazgos, 11 corregidos, 4 excepciones justificadas.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E7</w:t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Análisis de realidad y decisiones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7254e"/>
                <w:sz w:val="18"/>
                <w:szCs w:val="18"/>
                <w:rtl w:val="0"/>
              </w:rPr>
              <w:t xml:space="preserve">docs/04_Analisis_de_Realidad_y_Decisiones.md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Madurez de ingeniería: escenarios del mundo real y decisiones de diseño.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E8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Historias de usuario y requerimientos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7254e"/>
                <w:sz w:val="18"/>
                <w:szCs w:val="18"/>
                <w:rtl w:val="0"/>
              </w:rPr>
              <w:t xml:space="preserve">docs/01_...md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c7254e"/>
                <w:sz w:val="18"/>
                <w:szCs w:val="18"/>
                <w:rtl w:val="0"/>
              </w:rPr>
              <w:t xml:space="preserve">docs/02_...md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Trazabilidad ERS → RF → historias → tablas.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E9</w:t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Historial de commits (Git)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c7254e"/>
                <w:sz w:val="18"/>
                <w:szCs w:val="18"/>
                <w:rtl w:val="0"/>
              </w:rPr>
              <w:t xml:space="preserve">git log</w:t>
            </w:r>
            <w:r w:rsidDel="00000000" w:rsidR="00000000" w:rsidRPr="00000000">
              <w:rPr>
                <w:rtl w:val="0"/>
              </w:rPr>
              <w:t xml:space="preserve"> del repositorio</w:t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Trazabilidad temporal y autoría del trabajo del equipo.</w:t>
            </w:r>
          </w:p>
        </w:tc>
      </w:tr>
    </w:tbl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b w:val="1"/>
          <w:bCs w:val="1"/>
          <w:rtl w:val="0"/>
        </w:rPr>
        <w:t xml:space="preserve">Justificación de la pertinencia de las evidencias.</w:t>
      </w:r>
      <w:r w:rsidDel="00000000" w:rsidR="00000000" w:rsidRPr="00000000">
        <w:rPr>
          <w:rtl w:val="0"/>
        </w:rPr>
        <w:t xml:space="preserve"> Las evidencias cubren las tres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dimensiones que exige la asignatura: </w:t>
      </w:r>
      <w:r w:rsidDel="00000000" w:rsidR="00000000" w:rsidRPr="00000000">
        <w:rPr>
          <w:b w:val="1"/>
          <w:bCs w:val="1"/>
          <w:rtl w:val="0"/>
        </w:rPr>
        <w:t xml:space="preserve">documentación</w:t>
      </w:r>
      <w:r w:rsidDel="00000000" w:rsidR="00000000" w:rsidRPr="00000000">
        <w:rPr>
          <w:rtl w:val="0"/>
        </w:rPr>
        <w:t xml:space="preserve"> (E1, E2, E6, E7, E8), </w:t>
      </w:r>
      <w:r w:rsidDel="00000000" w:rsidR="00000000" w:rsidRPr="00000000">
        <w:rPr>
          <w:b w:val="1"/>
          <w:bCs w:val="1"/>
          <w:rtl w:val="0"/>
        </w:rPr>
        <w:t xml:space="preserve">programación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(E3, E5) y </w:t>
      </w:r>
      <w:r w:rsidDel="00000000" w:rsidR="00000000" w:rsidRPr="00000000">
        <w:rPr>
          <w:b w:val="1"/>
          <w:bCs w:val="1"/>
          <w:rtl w:val="0"/>
        </w:rPr>
        <w:t xml:space="preserve">almacenamiento de datos</w:t>
      </w:r>
      <w:r w:rsidDel="00000000" w:rsidR="00000000" w:rsidRPr="00000000">
        <w:rPr>
          <w:rtl w:val="0"/>
        </w:rPr>
        <w:t xml:space="preserve"> (E2, E3, E4). El modelo de datos y su script ejecutable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son el entregable central comprometido para esta fecha de avance, coherente con la etapa de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Diseño del cronograma.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b w:val="1"/>
          <w:bCs w:val="1"/>
          <w:rtl w:val="0"/>
        </w:rPr>
        <w:t xml:space="preserve">Resguardo de la calidad desde la disciplina.</w:t>
      </w:r>
      <w:r w:rsidDel="00000000" w:rsidR="00000000" w:rsidRPr="00000000">
        <w:rPr>
          <w:rtl w:val="0"/>
        </w:rPr>
        <w:t xml:space="preserve"> La calidad se aseguró con prácticas estándar de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la industria del desarrollo de software y de la ingeniería de datos: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Normalización formal hasta 2FN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con un documento que audita cada decisión y justifica las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excepciones técnicas (particionamiento, atributos variables).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Integridad referencial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garantizada por claves foráneas con política explícita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7254e"/>
          <w:sz w:val="18"/>
          <w:szCs w:val="18"/>
          <w:rtl w:val="0"/>
        </w:rPr>
        <w:t xml:space="preserve">ON DELETE CASCADE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Consolas" w:cs="Consolas" w:eastAsia="Consolas" w:hAnsi="Consolas"/>
          <w:color w:val="c7254e"/>
          <w:sz w:val="18"/>
          <w:szCs w:val="18"/>
          <w:rtl w:val="0"/>
        </w:rPr>
        <w:t xml:space="preserve">SET NULL</w:t>
      </w:r>
      <w:r w:rsidDel="00000000" w:rsidR="00000000" w:rsidRPr="00000000">
        <w:rPr>
          <w:rtl w:val="0"/>
        </w:rPr>
        <w:t xml:space="preserve">) e </w:t>
      </w:r>
      <w:r w:rsidDel="00000000" w:rsidR="00000000" w:rsidRPr="00000000">
        <w:rPr>
          <w:b w:val="1"/>
          <w:bCs w:val="1"/>
          <w:rtl w:val="0"/>
        </w:rPr>
        <w:t xml:space="preserve">integridad de dominio</w:t>
      </w:r>
      <w:r w:rsidDel="00000000" w:rsidR="00000000" w:rsidRPr="00000000">
        <w:rPr>
          <w:rtl w:val="0"/>
        </w:rPr>
        <w:t xml:space="preserve"> mediante restricciones </w:t>
      </w:r>
      <w:r w:rsidDel="00000000" w:rsidR="00000000" w:rsidRPr="00000000">
        <w:rPr>
          <w:rFonts w:ascii="Consolas" w:cs="Consolas" w:eastAsia="Consolas" w:hAnsi="Consolas"/>
          <w:color w:val="c7254e"/>
          <w:sz w:val="18"/>
          <w:szCs w:val="18"/>
          <w:rtl w:val="0"/>
        </w:rPr>
        <w:t xml:space="preserve">CHECK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Control de versiones Git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commits atómicos y descriptivos por módulo, lo que permite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trazar la evolución y la autoría.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Contenerización con Docker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c7254e"/>
          <w:sz w:val="18"/>
          <w:szCs w:val="18"/>
          <w:u w:val="none"/>
          <w:shd w:fill="auto" w:val="clear"/>
          <w:vertAlign w:val="baseline"/>
          <w:rtl w:val="0"/>
        </w:rPr>
        <w:t xml:space="preserve">docker-compose.yml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 y configuración por variables de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entorno, cumpliendo portabilidad y separación de secretos.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Documentación de la API autogenerada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desde el código (OpenAPI/Swagger), accesible en línea.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Seguridad por diseño: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contraseñas con hash, tokens hasheados, control de acceso por rol y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trazabilidad clínica inmutable (</w:t>
      </w:r>
      <w:r w:rsidDel="00000000" w:rsidR="00000000" w:rsidRPr="00000000">
        <w:rPr>
          <w:rFonts w:ascii="Consolas" w:cs="Consolas" w:eastAsia="Consolas" w:hAnsi="Consolas"/>
          <w:color w:val="c7254e"/>
          <w:sz w:val="18"/>
          <w:szCs w:val="18"/>
          <w:rtl w:val="0"/>
        </w:rPr>
        <w:t xml:space="preserve">audit_log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C3">
      <w:pPr>
        <w:pBdr>
          <w:bottom w:color="a0a0a0" w:space="1" w:sz="6" w:val="single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2"/>
        <w:rPr/>
      </w:pPr>
      <w:r w:rsidDel="00000000" w:rsidR="00000000" w:rsidRPr="00000000">
        <w:rPr>
          <w:rtl w:val="0"/>
        </w:rPr>
        <w:t xml:space="preserve">2. Monitoreo del Plan de Trabajo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Se reporta el estado de avance de cada actividad del plan de trabajo definido en la Fase 1,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respetando sus etapas, duraciones y responsables. Estados posibles: En curso · Con retraso ·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No iniciado · Completado · Ajustada.</w:t>
      </w:r>
    </w:p>
    <w:tbl>
      <w:tblPr>
        <w:tblStyle w:val="Table3"/>
        <w:tblW w:w="8640.0" w:type="dxa"/>
        <w:jc w:val="center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1080"/>
        <w:gridCol w:w="1080"/>
        <w:gridCol w:w="1080"/>
        <w:gridCol w:w="1080"/>
        <w:gridCol w:w="1200"/>
        <w:gridCol w:w="1320"/>
        <w:gridCol w:w="720"/>
        <w:gridCol w:w="1080"/>
        <w:tblGridChange w:id="0">
          <w:tblGrid>
            <w:gridCol w:w="1080"/>
            <w:gridCol w:w="1080"/>
            <w:gridCol w:w="1080"/>
            <w:gridCol w:w="1080"/>
            <w:gridCol w:w="1200"/>
            <w:gridCol w:w="1320"/>
            <w:gridCol w:w="720"/>
            <w:gridCol w:w="1080"/>
          </w:tblGrid>
        </w:tblGridChange>
      </w:tblGrid>
      <w:tr>
        <w:trPr>
          <w:cantSplit w:val="0"/>
          <w:tblHeader w:val="0"/>
        </w:trPr>
        <w:tc>
          <w:tcPr>
            <w:shd w:fill="2e5a88" w:val="clear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Competencia / Unidad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a88" w:val="clear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Actividad (según Fase 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a88" w:val="clear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Recursos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a88" w:val="clear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Duración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a88" w:val="clear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a88" w:val="clear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Observaciones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a88" w:val="clear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Estado de avance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a88" w:val="clear"/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Ajustes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Gestión de Proyectos Informáticos</w:t>
            </w:r>
          </w:p>
        </w:tc>
        <w:tc>
          <w:tcPr/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S1–S3:</w:t>
            </w:r>
            <w:r w:rsidDel="00000000" w:rsidR="00000000" w:rsidRPr="00000000">
              <w:rPr>
                <w:rtl w:val="0"/>
              </w:rPr>
              <w:t xml:space="preserve"> Análisis y definición de requisitos (ERS simplificado) y consolidación de requisitos no funcionales</w:t>
            </w:r>
          </w:p>
        </w:tc>
        <w:tc>
          <w:tcPr/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Plantillas ERS, documentación de Alloxentric</w:t>
            </w:r>
          </w:p>
        </w:tc>
        <w:tc>
          <w:tcPr/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3 semanas</w:t>
            </w:r>
          </w:p>
        </w:tc>
        <w:tc>
          <w:tcPr/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Equipo completo</w:t>
            </w:r>
          </w:p>
        </w:tc>
        <w:tc>
          <w:tcPr/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Facilitador:</w:t>
            </w:r>
            <w:r w:rsidDel="00000000" w:rsidR="00000000" w:rsidRPr="00000000">
              <w:rPr>
                <w:rtl w:val="0"/>
              </w:rPr>
              <w:t xml:space="preserve"> la especificación de Alloxentric ya estaba definida y estable</w:t>
            </w:r>
          </w:p>
        </w:tc>
        <w:tc>
          <w:tcPr/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Completado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  <w:t xml:space="preserve">Sin ajustes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  <w:t xml:space="preserve">Sistematización y Modelos de Datos</w:t>
            </w:r>
          </w:p>
        </w:tc>
        <w:tc>
          <w:tcPr/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S4–S6:</w:t>
            </w:r>
            <w:r w:rsidDel="00000000" w:rsidR="00000000" w:rsidRPr="00000000">
              <w:rPr>
                <w:rtl w:val="0"/>
              </w:rPr>
              <w:t xml:space="preserve"> Diseño de arquitectura y base de datos (modelo ER en PostgreSQL y diagramación)</w:t>
            </w:r>
          </w:p>
        </w:tc>
        <w:tc>
          <w:tcPr/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tl w:val="0"/>
              </w:rPr>
              <w:t xml:space="preserve">DBDesigner, dbdiagram.io, Azure</w:t>
            </w:r>
          </w:p>
        </w:tc>
        <w:tc>
          <w:tcPr/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  <w:t xml:space="preserve">3 semanas</w:t>
            </w:r>
          </w:p>
        </w:tc>
        <w:tc>
          <w:tcPr/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Benjamín Camus, Juan Mora</w:t>
            </w:r>
          </w:p>
        </w:tc>
        <w:tc>
          <w:tcPr/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Facilitador:</w:t>
            </w:r>
            <w:r w:rsidDel="00000000" w:rsidR="00000000" w:rsidRPr="00000000">
              <w:rPr>
                <w:rtl w:val="0"/>
              </w:rPr>
              <w:t xml:space="preserve"> roles especializados en datos. Se profundizó con normalización 2FN formal</w:t>
            </w:r>
          </w:p>
        </w:tc>
        <w:tc>
          <w:tcPr/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Completado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  <w:t xml:space="preserve">Se agregó documento de normalización y análisis de realidad (mejora de calidad no prevista en Fase 1)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  <w:t xml:space="preserve">Desarrollo de Solución de Software</w:t>
            </w:r>
          </w:p>
        </w:tc>
        <w:tc>
          <w:tcPr/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S7–S11:</w:t>
            </w:r>
            <w:r w:rsidDel="00000000" w:rsidR="00000000" w:rsidRPr="00000000">
              <w:rPr>
                <w:rtl w:val="0"/>
              </w:rPr>
              <w:t xml:space="preserve"> Implementación backend y Core API (FastAPI, integración IA, simulador wearable)</w:t>
            </w:r>
          </w:p>
        </w:tc>
        <w:tc>
          <w:tcPr/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tl w:val="0"/>
              </w:rPr>
              <w:t xml:space="preserve">Python, FastAPI, Azure</w:t>
            </w:r>
          </w:p>
        </w:tc>
        <w:tc>
          <w:tcPr/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tl w:val="0"/>
              </w:rPr>
              <w:t xml:space="preserve">5 semanas</w:t>
            </w:r>
          </w:p>
        </w:tc>
        <w:tc>
          <w:tcPr/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tl w:val="0"/>
              </w:rPr>
              <w:t xml:space="preserve">Javier Cerna</w:t>
            </w:r>
          </w:p>
        </w:tc>
        <w:tc>
          <w:tcPr/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Facilitador:</w:t>
            </w:r>
            <w:r w:rsidDel="00000000" w:rsidR="00000000" w:rsidRPr="00000000">
              <w:rPr>
                <w:rtl w:val="0"/>
              </w:rPr>
              <w:t xml:space="preserve"> contrato de endpoints definido. Foco en seguridad y control de acceso (JWT)</w:t>
            </w:r>
          </w:p>
        </w:tc>
        <w:tc>
          <w:tcPr/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 curso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tl w:val="0"/>
              </w:rPr>
              <w:t xml:space="preserve">Núcleo de salud (módulos 3, 4, 5, 6, 9) completado; IA y OCR en etapa posterior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  <w:t xml:space="preserve">Desarrollo de Solución de Software</w:t>
            </w:r>
          </w:p>
        </w:tc>
        <w:tc>
          <w:tcPr/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S12–S14:</w:t>
            </w:r>
            <w:r w:rsidDel="00000000" w:rsidR="00000000" w:rsidRPr="00000000">
              <w:rPr>
                <w:rtl w:val="0"/>
              </w:rPr>
              <w:t xml:space="preserve"> Implementación frontend móvil (Flutter, módulo Director Musical)</w:t>
            </w:r>
          </w:p>
        </w:tc>
        <w:tc>
          <w:tcPr/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tl w:val="0"/>
              </w:rPr>
              <w:t xml:space="preserve">Flutter, Dart</w:t>
            </w:r>
          </w:p>
        </w:tc>
        <w:tc>
          <w:tcPr/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tl w:val="0"/>
              </w:rPr>
              <w:t xml:space="preserve">3 semanas</w:t>
            </w:r>
          </w:p>
        </w:tc>
        <w:tc>
          <w:tcPr/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tl w:val="0"/>
              </w:rPr>
              <w:t xml:space="preserve">Equipo completo</w:t>
            </w:r>
          </w:p>
        </w:tc>
        <w:tc>
          <w:tcPr/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tl w:val="0"/>
              </w:rPr>
              <w:t xml:space="preserve">El módulo Director Musical depende de servicios de Alloxentric</w:t>
            </w:r>
          </w:p>
        </w:tc>
        <w:tc>
          <w:tcPr/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 iniciado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tl w:val="0"/>
              </w:rPr>
              <w:t xml:space="preserve">Planificado según cronograma; sin adelanto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tl w:val="0"/>
              </w:rPr>
              <w:t xml:space="preserve">Pruebas de Certificación</w:t>
            </w:r>
          </w:p>
        </w:tc>
        <w:tc>
          <w:tcPr/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S15–S16:</w:t>
            </w:r>
            <w:r w:rsidDel="00000000" w:rsidR="00000000" w:rsidRPr="00000000">
              <w:rPr>
                <w:rtl w:val="0"/>
              </w:rPr>
              <w:t xml:space="preserve"> Pruebas y certificación (seguridad, integración y carga)</w:t>
            </w:r>
          </w:p>
        </w:tc>
        <w:tc>
          <w:tcPr/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tl w:val="0"/>
              </w:rPr>
              <w:t xml:space="preserve">Postman, PyTest</w:t>
            </w:r>
          </w:p>
        </w:tc>
        <w:tc>
          <w:tcPr/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tl w:val="0"/>
              </w:rPr>
              <w:t xml:space="preserve">2 semanas</w:t>
            </w:r>
          </w:p>
        </w:tc>
        <w:tc>
          <w:tcPr/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tl w:val="0"/>
              </w:rPr>
              <w:t xml:space="preserve">Equipo completo</w:t>
            </w:r>
          </w:p>
        </w:tc>
        <w:tc>
          <w:tcPr/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tl w:val="0"/>
              </w:rPr>
              <w:t xml:space="preserve">Paso obligatorio previo al despliegue final</w:t>
            </w:r>
          </w:p>
        </w:tc>
        <w:tc>
          <w:tcPr/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 iniciado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tl w:val="0"/>
              </w:rPr>
              <w:t xml:space="preserve">Planificado; se dispone de cliente de prueba HTML para validación manual temprana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tl w:val="0"/>
              </w:rPr>
              <w:t xml:space="preserve">Gestión y Sistematización</w:t>
            </w:r>
          </w:p>
        </w:tc>
        <w:tc>
          <w:tcPr/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S17–S18:</w:t>
            </w:r>
            <w:r w:rsidDel="00000000" w:rsidR="00000000" w:rsidRPr="00000000">
              <w:rPr>
                <w:rtl w:val="0"/>
              </w:rPr>
              <w:t xml:space="preserve"> Empaquetado Docker y despliegue + Manual Técnico</w:t>
            </w:r>
          </w:p>
        </w:tc>
        <w:tc>
          <w:tcPr/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tl w:val="0"/>
              </w:rPr>
              <w:t xml:space="preserve">Docker, Azure Container Apps</w:t>
            </w:r>
          </w:p>
        </w:tc>
        <w:tc>
          <w:tcPr/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tl w:val="0"/>
              </w:rPr>
              <w:t xml:space="preserve">2 semanas</w:t>
            </w:r>
          </w:p>
        </w:tc>
        <w:tc>
          <w:tcPr/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tl w:val="0"/>
              </w:rPr>
              <w:t xml:space="preserve">Javier Cerna</w:t>
            </w:r>
          </w:p>
        </w:tc>
        <w:tc>
          <w:tcPr/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Facilitador:</w:t>
            </w:r>
            <w:r w:rsidDel="00000000" w:rsidR="00000000" w:rsidRPr="00000000">
              <w:rPr>
                <w:rtl w:val="0"/>
              </w:rPr>
              <w:t xml:space="preserve"> ya existe </w:t>
            </w:r>
            <w:r w:rsidDel="00000000" w:rsidR="00000000" w:rsidRPr="00000000">
              <w:rPr>
                <w:rFonts w:ascii="Consolas" w:cs="Consolas" w:eastAsia="Consolas" w:hAnsi="Consolas"/>
                <w:color w:val="c7254e"/>
                <w:sz w:val="18"/>
                <w:szCs w:val="18"/>
                <w:rtl w:val="0"/>
              </w:rPr>
              <w:t xml:space="preserve">docker-compose</w:t>
            </w:r>
            <w:r w:rsidDel="00000000" w:rsidR="00000000" w:rsidRPr="00000000">
              <w:rPr>
                <w:rtl w:val="0"/>
              </w:rPr>
              <w:t xml:space="preserve"> y despliegue anticipado de la API</w:t>
            </w:r>
          </w:p>
        </w:tc>
        <w:tc>
          <w:tcPr/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 curso (adelantado)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tl w:val="0"/>
              </w:rPr>
              <w:t xml:space="preserve">La API ya está contenerizada y desplegada antes de lo planificado; evidencia disponible en vivo</w:t>
            </w:r>
          </w:p>
        </w:tc>
      </w:tr>
    </w:tbl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b w:val="1"/>
          <w:bCs w:val="1"/>
          <w:rtl w:val="0"/>
        </w:rPr>
        <w:t xml:space="preserve">Resumen del estado:</w:t>
      </w:r>
      <w:r w:rsidDel="00000000" w:rsidR="00000000" w:rsidRPr="00000000">
        <w:rPr>
          <w:rtl w:val="0"/>
        </w:rPr>
        <w:t xml:space="preserve"> las actividades de Análisis y Diseño (S1–S6) están </w:t>
      </w:r>
      <w:r w:rsidDel="00000000" w:rsidR="00000000" w:rsidRPr="00000000">
        <w:rPr>
          <w:b w:val="1"/>
          <w:bCs w:val="1"/>
          <w:rtl w:val="0"/>
        </w:rPr>
        <w:t xml:space="preserve">completadas</w:t>
      </w:r>
      <w:r w:rsidDel="00000000" w:rsidR="00000000" w:rsidRPr="00000000">
        <w:rPr>
          <w:rtl w:val="0"/>
        </w:rPr>
        <w:t xml:space="preserve">; la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Implementación del backend (S7–S11) está </w:t>
      </w:r>
      <w:r w:rsidDel="00000000" w:rsidR="00000000" w:rsidRPr="00000000">
        <w:rPr>
          <w:b w:val="1"/>
          <w:bCs w:val="1"/>
          <w:rtl w:val="0"/>
        </w:rPr>
        <w:t xml:space="preserve">en curso</w:t>
      </w:r>
      <w:r w:rsidDel="00000000" w:rsidR="00000000" w:rsidRPr="00000000">
        <w:rPr>
          <w:rtl w:val="0"/>
        </w:rPr>
        <w:t xml:space="preserve"> con el núcleo de salud operativo; el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empaquetado y despliegue (S17–S18) se </w:t>
      </w:r>
      <w:r w:rsidDel="00000000" w:rsidR="00000000" w:rsidRPr="00000000">
        <w:rPr>
          <w:b w:val="1"/>
          <w:bCs w:val="1"/>
          <w:rtl w:val="0"/>
        </w:rPr>
        <w:t xml:space="preserve">adelantó</w:t>
      </w:r>
      <w:r w:rsidDel="00000000" w:rsidR="00000000" w:rsidRPr="00000000">
        <w:rPr>
          <w:rtl w:val="0"/>
        </w:rPr>
        <w:t xml:space="preserve"> parcialmente al disponer ya de la API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contenerizada y publicada. Las etapas de </w:t>
      </w:r>
      <w:r w:rsidDel="00000000" w:rsidR="00000000" w:rsidRPr="00000000">
        <w:rPr>
          <w:b w:val="1"/>
          <w:bCs w:val="1"/>
          <w:rtl w:val="0"/>
        </w:rPr>
        <w:t xml:space="preserve">frontend móvil en Flutter (S12–S14)</w:t>
      </w:r>
      <w:r w:rsidDel="00000000" w:rsidR="00000000" w:rsidRPr="00000000">
        <w:rPr>
          <w:rtl w:val="0"/>
        </w:rPr>
        <w:t xml:space="preserve"> —parte del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alcance full stack comprometido para DUOC— y las </w:t>
      </w:r>
      <w:r w:rsidDel="00000000" w:rsidR="00000000" w:rsidRPr="00000000">
        <w:rPr>
          <w:b w:val="1"/>
          <w:bCs w:val="1"/>
          <w:rtl w:val="0"/>
        </w:rPr>
        <w:t xml:space="preserve">pruebas formales (S15–S16)</w:t>
      </w:r>
      <w:r w:rsidDel="00000000" w:rsidR="00000000" w:rsidRPr="00000000">
        <w:rPr>
          <w:rtl w:val="0"/>
        </w:rPr>
        <w:t xml:space="preserve"> siguen el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calendario de la cascada y se abordan una vez consolidada la capa de datos y backend, respetando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la secuencialidad del método.</w:t>
      </w:r>
    </w:p>
    <w:p w:rsidR="00000000" w:rsidDel="00000000" w:rsidP="00000000" w:rsidRDefault="00000000" w:rsidRPr="00000000" w14:paraId="00000108">
      <w:pPr>
        <w:pBdr>
          <w:bottom w:color="a0a0a0" w:space="1" w:sz="6" w:val="single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Style w:val="Heading2"/>
        <w:rPr/>
      </w:pPr>
      <w:r w:rsidDel="00000000" w:rsidR="00000000" w:rsidRPr="00000000">
        <w:rPr>
          <w:rtl w:val="0"/>
        </w:rPr>
        <w:t xml:space="preserve">3. Ajustes a partir del monitoreo</w:t>
      </w:r>
    </w:p>
    <w:p w:rsidR="00000000" w:rsidDel="00000000" w:rsidP="00000000" w:rsidRDefault="00000000" w:rsidRPr="00000000" w14:paraId="0000010A">
      <w:pPr>
        <w:pStyle w:val="Heading3"/>
        <w:rPr/>
      </w:pPr>
      <w:r w:rsidDel="00000000" w:rsidR="00000000" w:rsidRPr="00000000">
        <w:rPr>
          <w:rtl w:val="0"/>
        </w:rPr>
        <w:t xml:space="preserve">Factores que han facilitado y/o dificultado el desarrollo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b w:val="1"/>
          <w:bCs w:val="1"/>
          <w:rtl w:val="0"/>
        </w:rPr>
        <w:t xml:space="preserve">Facilitadores: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Especificación estable desde la contraparte (Alloxentric):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contar con el ERS y la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especificación de endpoints ya definidos eliminó la incertidumbre de alcance y permitió que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El equipo se concentrará en el diseño y la construcción. Esto es coherente con el enfoque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Cascada, que requiere requisitos estables al inicio.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Roles especializados y complementarios: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distribución DBA (Juan Mora) / Arquitecto de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Datos (Benjamín Camus) / Full Stack y DevSecOps (Javier Cerna) permitió avanzar en paralelo en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el modelado de datos y el backend, y cubre las competencias necesarias para completar la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solución full stack (incluida la capa móvil en Flutter) en las etapas siguientes.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Despliegue temprano: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disponer de la API en un dominio propio con túnel Cloudflare dio una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evidencia tangible y verificable del avance, y adelantó parte de la etapa de despliegue.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b w:val="1"/>
          <w:bCs w:val="1"/>
          <w:rtl w:val="0"/>
        </w:rPr>
        <w:t xml:space="preserve">Dificultades y cómo se abordaron: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Curva de diseño en la nube (Cloud):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señalada como obstaculizador en la Fase 1. Se abordó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usando contenedores Docker, lo que estandarizó el entorno y redujo la fricción de despliegue.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Integración con hardware real del wearable: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riesgo identificado en Fase 1. Se mitigó con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un </w:t>
      </w:r>
      <w:r w:rsidDel="00000000" w:rsidR="00000000" w:rsidRPr="00000000">
        <w:rPr>
          <w:b w:val="1"/>
          <w:bCs w:val="1"/>
          <w:rtl w:val="0"/>
        </w:rPr>
        <w:t xml:space="preserve">simulador de ingesta de datos</w:t>
      </w:r>
      <w:r w:rsidDel="00000000" w:rsidR="00000000" w:rsidRPr="00000000">
        <w:rPr>
          <w:rtl w:val="0"/>
        </w:rPr>
        <w:t xml:space="preserve"> desacoplado por la API de ingesta batch, evitando el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bloqueo técnico, tal como se había previsto como solución en la Factibilidad del proyecto.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Rigor de normalización: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 revisar el modelo contra las formas normales se detectaron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oportunidades de mejora (arreglos JSON, dependencias parciales, un typo que inutilizaba un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trigger). Se corrigieron y documentaron antes de avanzar, elevando la calidad del diseño.</w:t>
      </w:r>
    </w:p>
    <w:p w:rsidR="00000000" w:rsidDel="00000000" w:rsidP="00000000" w:rsidRDefault="00000000" w:rsidRPr="00000000" w14:paraId="0000011F">
      <w:pPr>
        <w:pStyle w:val="Heading3"/>
        <w:rPr/>
      </w:pPr>
      <w:r w:rsidDel="00000000" w:rsidR="00000000" w:rsidRPr="00000000">
        <w:rPr>
          <w:rtl w:val="0"/>
        </w:rPr>
        <w:t xml:space="preserve">Actividades ajustadas o eliminadas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No se eliminaron actividades. Se realizaron dos </w:t>
      </w:r>
      <w:r w:rsidDel="00000000" w:rsidR="00000000" w:rsidRPr="00000000">
        <w:rPr>
          <w:b w:val="1"/>
          <w:bCs w:val="1"/>
          <w:rtl w:val="0"/>
        </w:rPr>
        <w:t xml:space="preserve">mejoras de calidad no previstas</w:t>
      </w:r>
      <w:r w:rsidDel="00000000" w:rsidR="00000000" w:rsidRPr="00000000">
        <w:rPr>
          <w:rtl w:val="0"/>
        </w:rPr>
        <w:t xml:space="preserve"> en la Fase 1,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que fortalecen el proyecto sin alterar su alcance: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Normalización formal a 2FN con documento de respaldo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c7254e"/>
          <w:sz w:val="18"/>
          <w:szCs w:val="18"/>
          <w:u w:val="none"/>
          <w:shd w:fill="auto" w:val="clear"/>
          <w:vertAlign w:val="baseline"/>
          <w:rtl w:val="0"/>
        </w:rPr>
        <w:t xml:space="preserve">Normalizacion_2FN_AgeCare.md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):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se corrigió el modelo donde había arreglos JSON multivaluados, una dependencia parcial y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duplicación de catálogos, y se documentaron las excepciones técnicas justificadas.</w:t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Análisis de realidad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c7254e"/>
          <w:sz w:val="18"/>
          <w:szCs w:val="18"/>
          <w:u w:val="none"/>
          <w:shd w:fill="auto" w:val="clear"/>
          <w:vertAlign w:val="baseline"/>
          <w:rtl w:val="0"/>
        </w:rPr>
        <w:t xml:space="preserve">04_Analisis_de_Realidad_y_Decisiones.md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): se incorporaron cuatro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tablas transversales (</w:t>
      </w:r>
      <w:r w:rsidDel="00000000" w:rsidR="00000000" w:rsidRPr="00000000">
        <w:rPr>
          <w:rFonts w:ascii="Consolas" w:cs="Consolas" w:eastAsia="Consolas" w:hAnsi="Consolas"/>
          <w:color w:val="c7254e"/>
          <w:sz w:val="18"/>
          <w:szCs w:val="18"/>
          <w:rtl w:val="0"/>
        </w:rPr>
        <w:t xml:space="preserve">audit_log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7254e"/>
          <w:sz w:val="18"/>
          <w:szCs w:val="18"/>
          <w:rtl w:val="0"/>
        </w:rPr>
        <w:t xml:space="preserve">system_parameters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7254e"/>
          <w:sz w:val="18"/>
          <w:szCs w:val="18"/>
          <w:rtl w:val="0"/>
        </w:rPr>
        <w:t xml:space="preserve">wellbeing_snapshots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Fonts w:ascii="Consolas" w:cs="Consolas" w:eastAsia="Consolas" w:hAnsi="Consolas"/>
          <w:color w:val="c7254e"/>
          <w:sz w:val="18"/>
          <w:szCs w:val="18"/>
          <w:rtl w:val="0"/>
        </w:rPr>
        <w:t xml:space="preserve">subscriptions</w:t>
      </w:r>
      <w:r w:rsidDel="00000000" w:rsidR="00000000" w:rsidRPr="00000000">
        <w:rPr>
          <w:rtl w:val="0"/>
        </w:rPr>
        <w:t xml:space="preserve">) que responden a escenarios del mundo real y a requisitos no funcionales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(trazabilidad clínica, configurabilidad, historización, modelo freemium).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Adicionalmente, se corrigió la descripción de la persistencia de datos respecto de la Fase 1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(de "híbrida/documental" a "relacional normalizada en PostgreSQL"), para que la documentación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refleje fielmente el modelo construido. Este es el único ajuste de redacción respecto del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documento de Fase 1, y se deja constancia explícita de él en honor a la trazabilidad.</w:t>
      </w:r>
    </w:p>
    <w:p w:rsidR="00000000" w:rsidDel="00000000" w:rsidP="00000000" w:rsidRDefault="00000000" w:rsidRPr="00000000" w14:paraId="0000012D">
      <w:pPr>
        <w:pStyle w:val="Heading3"/>
        <w:rPr/>
      </w:pPr>
      <w:r w:rsidDel="00000000" w:rsidR="00000000" w:rsidRPr="00000000">
        <w:rPr>
          <w:rtl w:val="0"/>
        </w:rPr>
        <w:t xml:space="preserve">Actividades no iniciadas o retrasadas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Frontend móvil en Flutter (S12–S14):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no iniciado. Corresponde a una etapa posterior del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cronograma en cascada; su no inicio es conforme a lo planificado, no un retraso. Para la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validación temprana del backend se dispone de un cliente de prueba HTML servido por la propia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API (</w:t>
      </w:r>
      <w:r w:rsidDel="00000000" w:rsidR="00000000" w:rsidRPr="00000000">
        <w:rPr>
          <w:rFonts w:ascii="Consolas" w:cs="Consolas" w:eastAsia="Consolas" w:hAnsi="Consolas"/>
          <w:color w:val="c7254e"/>
          <w:sz w:val="18"/>
          <w:szCs w:val="18"/>
          <w:rtl w:val="0"/>
        </w:rPr>
        <w:t xml:space="preserve">/test</w:t>
      </w:r>
      <w:r w:rsidDel="00000000" w:rsidR="00000000" w:rsidRPr="00000000">
        <w:rPr>
          <w:rtl w:val="0"/>
        </w:rPr>
        <w:t xml:space="preserve">), que permite ejercitar los endpoints sin esperar la app.</w:t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Módulos de comunicación, asistente IA y vista del adulto mayor (incl. Director Musical):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no iniciados; declarados y trazados en el ERS para las etapas siguientes. El módulo Director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Musical, en particular, depende de servicios y credenciales que administra Alloxentric.</w:t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Pruebas de certificación formales (S15–S16):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no iniciadas, conforme al calendario.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pBdr>
          <w:bottom w:color="a0a0a0" w:space="1" w:sz="6" w:val="single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pStyle w:val="Heading2"/>
        <w:rPr/>
      </w:pPr>
      <w:r w:rsidDel="00000000" w:rsidR="00000000" w:rsidRPr="00000000">
        <w:rPr>
          <w:rtl w:val="0"/>
        </w:rPr>
        <w:t xml:space="preserve">4. Síntesis de congruencia con la Fase 1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El avance reportado es </w:t>
      </w:r>
      <w:r w:rsidDel="00000000" w:rsidR="00000000" w:rsidRPr="00000000">
        <w:rPr>
          <w:b w:val="1"/>
          <w:bCs w:val="1"/>
          <w:rtl w:val="0"/>
        </w:rPr>
        <w:t xml:space="preserve">congruente con la Definición del Proyecto (Fase 1)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Objetivos: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 mantienen sin cambios; el avance cumple OE-1, OE-2 y OE-3 en su núcleo.</w:t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Metodología: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 mantiene Cascada; el avance corresponde a las etapas de Análisis, Diseño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e inicio de Implementación.</w:t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Alcance: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 mantiene la solución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full stack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comprometida para DUOC (backend + base de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datos + app móvil Flutter). El avance de esta fecha cubre las capas de datos y backend; la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capa de presentación corresponde a las etapas S12–S14 del cronograma, aún no iniciadas por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secuencialidad de la cascada.</w:t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Plan de trabajo: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las actividades S1–S6 están completadas y S7–S11 en curso, según el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cronograma; el despliegue (S17–S18) se adelantó parcialmente.</w:t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Evidencias: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coinciden con las comprometidas en Fase 1 (Documento de Requerimientos y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Arquitectura, Modelo de datos, Docker), más mejoras de calidad documentadas.</w:t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Única corrección de redacción: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descripción de la persistencia, ajustada a la realidad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del modelo relacional, declarada explícitamente en este informe.</w:t>
      </w:r>
    </w:p>
    <w:sectPr>
      <w:footerReference r:id="rId7" w:type="default"/>
      <w:pgSz w:h="15840" w:w="12240" w:orient="portrait"/>
      <w:pgMar w:bottom="1440" w:top="1440" w:left="1800" w:right="1800" w:header="720" w:footer="720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nsola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7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j6btjavfTSIgbHsCnvKRz6m0Tw==">CgMxLjAyDmguMzF2YXYwY2NudHh4Mg5oLnBzeGx1aTFoN2pxajIOaC43bzRnc2o3NjlvOXk4AHIhMW9wa2V6c0ZTOWFFckRWaWFwemRBa182dU9uMGJTUXVy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