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98" w:rsidRPr="005275E4" w:rsidRDefault="00D73B8D" w:rsidP="005275E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3.25pt;height:165.95pt">
            <v:imagedata r:id="rId9" o:title="Logo_BHT_Berlin.svg"/>
          </v:shape>
        </w:pict>
      </w:r>
      <w:bookmarkEnd w:id="0"/>
    </w:p>
    <w:sectPr w:rsidR="00160B98" w:rsidRPr="005275E4" w:rsidSect="00CF0218">
      <w:headerReference w:type="first" r:id="rId10"/>
      <w:footerReference w:type="first" r:id="rId11"/>
      <w:pgSz w:w="11906" w:h="16838" w:code="9"/>
      <w:pgMar w:top="2041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6C5" w:rsidRDefault="008636C5">
      <w:r>
        <w:separator/>
      </w:r>
    </w:p>
  </w:endnote>
  <w:endnote w:type="continuationSeparator" w:id="0">
    <w:p w:rsidR="008636C5" w:rsidRDefault="008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6C5" w:rsidRDefault="008636C5">
      <w:r>
        <w:separator/>
      </w:r>
    </w:p>
  </w:footnote>
  <w:footnote w:type="continuationSeparator" w:id="0">
    <w:p w:rsidR="008636C5" w:rsidRDefault="0086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5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12"/>
  </w:num>
  <w:num w:numId="17">
    <w:abstractNumId w:val="14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8D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53A12"/>
    <w:rsid w:val="004570C5"/>
    <w:rsid w:val="00457EC8"/>
    <w:rsid w:val="00462415"/>
    <w:rsid w:val="004624DA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36C5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3B8D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,"/>
  <w:listSeparator w:val=";"/>
  <w14:docId w14:val="344D52B0"/>
  <w15:chartTrackingRefBased/>
  <w15:docId w15:val="{FE0FA9B9-0F95-44D4-B069-ADFE436E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2EF6CD33-3D23-43DC-8286-6CC826BA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Ben Hadj M barek, Jawhar (TD-D)</dc:creator>
  <cp:keywords/>
  <dc:description/>
  <cp:lastModifiedBy>Ben Hadj M barek, Jawhar (TD-D)</cp:lastModifiedBy>
  <cp:revision>2</cp:revision>
  <cp:lastPrinted>2018-08-05T15:53:00Z</cp:lastPrinted>
  <dcterms:created xsi:type="dcterms:W3CDTF">2018-08-05T15:51:00Z</dcterms:created>
  <dcterms:modified xsi:type="dcterms:W3CDTF">2018-08-05T15:53:00Z</dcterms:modified>
</cp:coreProperties>
</file>