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200" w:line="240" w:lineRule="auto"/>
        <w:jc w:val="center"/>
      </w:pPr>
      <w:r>
        <w:rPr>
          <w:rFonts w:ascii="Times New Roman" w:hAnsi="Times New Roman"/>
          <w:b w:val="0"/>
          <w:i w:val="0"/>
          <w:sz w:val="48"/>
        </w:rPr>
        <w:t>Right for the Wrong Reasons? Auditing a Deep Brain-Age Model for Fairness, Acquisition Shortcuts and Explanation Faithfulness</w:t>
      </w:r>
    </w:p>
    <w:tbl>
      <w:tblPr>
        <w:tblW w:type="auto" w:w="0"/>
        <w:jc w:val="center"/>
        <w:tblLook w:firstColumn="1" w:firstRow="1" w:lastColumn="0" w:lastRow="0" w:noHBand="0" w:noVBand="1" w:val="04A0"/>
      </w:tblPr>
      <w:tblGrid>
        <w:gridCol w:w="3437"/>
        <w:gridCol w:w="3437"/>
        <w:gridCol w:w="3437"/>
      </w:tblGrid>
      <w:tr>
        <w:tc>
          <w:tcPr>
            <w:tcW w:type="dxa" w:w="3437"/>
          </w:tcPr>
          <w:p>
            <w:pPr>
              <w:jc w:val="center"/>
            </w:pPr>
            <w:r>
              <w:rPr>
                <w:sz w:val="22"/>
              </w:rPr>
              <w:t>Adharshan N*</w:t>
            </w:r>
          </w:p>
          <w:p>
            <w:pPr>
              <w:jc w:val="center"/>
            </w:pPr>
            <w:r>
              <w:rPr>
                <w:i/>
                <w:sz w:val="18"/>
              </w:rPr>
              <w:t>School of Computer Science and Engineering</w:t>
            </w:r>
          </w:p>
          <w:p>
            <w:pPr>
              <w:jc w:val="center"/>
            </w:pPr>
            <w:r>
              <w:rPr>
                <w:i/>
                <w:sz w:val="18"/>
              </w:rPr>
              <w:t>Vellore Institute of Technology</w:t>
            </w:r>
          </w:p>
          <w:p>
            <w:pPr>
              <w:jc w:val="center"/>
            </w:pPr>
            <w:r>
              <w:rPr>
                <w:i w:val="0"/>
                <w:sz w:val="18"/>
              </w:rPr>
              <w:t>Chennai, India</w:t>
            </w:r>
          </w:p>
          <w:p>
            <w:pPr>
              <w:jc w:val="center"/>
            </w:pPr>
            <w:r>
              <w:rPr>
                <w:i w:val="0"/>
                <w:sz w:val="18"/>
              </w:rPr>
              <w:t>adharshan2706@gmail.com</w:t>
            </w:r>
          </w:p>
        </w:tc>
        <w:tc>
          <w:tcPr>
            <w:tcW w:type="dxa" w:w="3437"/>
          </w:tcPr>
          <w:p>
            <w:pPr>
              <w:jc w:val="center"/>
            </w:pPr>
            <w:r>
              <w:rPr>
                <w:sz w:val="22"/>
              </w:rPr>
              <w:t>Jaaiwanth K*</w:t>
            </w:r>
          </w:p>
          <w:p>
            <w:pPr>
              <w:jc w:val="center"/>
            </w:pPr>
            <w:r>
              <w:rPr>
                <w:i/>
                <w:sz w:val="18"/>
              </w:rPr>
              <w:t>School of Computer Science and Engineering</w:t>
            </w:r>
          </w:p>
          <w:p>
            <w:pPr>
              <w:jc w:val="center"/>
            </w:pPr>
            <w:r>
              <w:rPr>
                <w:i/>
                <w:sz w:val="18"/>
              </w:rPr>
              <w:t>Vellore Institute of Technology</w:t>
            </w:r>
          </w:p>
          <w:p>
            <w:pPr>
              <w:jc w:val="center"/>
            </w:pPr>
            <w:r>
              <w:rPr>
                <w:i w:val="0"/>
                <w:sz w:val="18"/>
              </w:rPr>
              <w:t>Chennai, India</w:t>
            </w:r>
          </w:p>
          <w:p>
            <w:pPr>
              <w:jc w:val="center"/>
            </w:pPr>
            <w:r>
              <w:rPr>
                <w:i w:val="0"/>
                <w:sz w:val="18"/>
              </w:rPr>
              <w:t>jaaiwanth90@gmail.com</w:t>
            </w:r>
          </w:p>
        </w:tc>
        <w:tc>
          <w:tcPr>
            <w:tcW w:type="dxa" w:w="3437"/>
          </w:tcPr>
          <w:p>
            <w:pPr>
              <w:jc w:val="center"/>
            </w:pPr>
            <w:r>
              <w:rPr>
                <w:sz w:val="22"/>
              </w:rPr>
              <w:t>Shridevi S†</w:t>
            </w:r>
          </w:p>
          <w:p>
            <w:pPr>
              <w:jc w:val="center"/>
            </w:pPr>
            <w:r>
              <w:rPr>
                <w:i/>
                <w:sz w:val="18"/>
              </w:rPr>
              <w:t>Centre for Neuroinformatics</w:t>
            </w:r>
          </w:p>
          <w:p>
            <w:pPr>
              <w:jc w:val="center"/>
            </w:pPr>
            <w:r>
              <w:rPr>
                <w:i/>
                <w:sz w:val="18"/>
              </w:rPr>
              <w:t>Vellore Institute of Technology</w:t>
            </w:r>
          </w:p>
          <w:p>
            <w:pPr>
              <w:jc w:val="center"/>
            </w:pPr>
            <w:r>
              <w:rPr>
                <w:i w:val="0"/>
                <w:sz w:val="18"/>
              </w:rPr>
              <w:t>Chennai, India</w:t>
            </w:r>
          </w:p>
          <w:p>
            <w:pPr>
              <w:jc w:val="center"/>
            </w:pPr>
            <w:r>
              <w:rPr>
                <w:i w:val="0"/>
                <w:sz w:val="18"/>
              </w:rPr>
              <w:t>[faculty email]</w:t>
            </w:r>
          </w:p>
        </w:tc>
      </w:tr>
    </w:tbl>
    <w:p>
      <w:pPr>
        <w:keepNext w:val="0"/>
        <w:spacing w:before="80" w:after="160" w:line="240" w:lineRule="auto"/>
        <w:jc w:val="center"/>
      </w:pPr>
      <w:r>
        <w:rPr>
          <w:rFonts w:ascii="Times New Roman" w:hAnsi="Times New Roman"/>
          <w:b w:val="0"/>
          <w:i/>
          <w:sz w:val="16"/>
        </w:rPr>
        <w:t>*Equal contribution.  †Corresponding author.</w:t>
      </w:r>
    </w:p>
    <w:p>
      <w:pPr>
        <w:sectPr>
          <w:pgSz w:w="12240" w:h="15840"/>
          <w:pgMar w:top="1080" w:right="965" w:bottom="1440" w:left="965" w:header="720" w:footer="720" w:gutter="0"/>
          <w:cols w:space="720"/>
          <w:docGrid w:linePitch="360"/>
        </w:sectPr>
      </w:pPr>
    </w:p>
    <w:p>
      <w:pPr>
        <w:keepNext w:val="0"/>
        <w:spacing w:before="0" w:after="120" w:line="240" w:lineRule="auto"/>
        <w:jc w:val="both"/>
      </w:pPr>
      <w:r>
        <w:rPr>
          <w:rFonts w:ascii="Times New Roman" w:hAnsi="Times New Roman"/>
          <w:b/>
          <w:i/>
          <w:sz w:val="18"/>
        </w:rPr>
        <w:t>Abstract</w:t>
      </w:r>
      <w:r>
        <w:rPr>
          <w:rFonts w:ascii="Times New Roman" w:hAnsi="Times New Roman"/>
          <w:b/>
          <w:i w:val="0"/>
          <w:sz w:val="18"/>
        </w:rPr>
        <w:t>—</w:t>
      </w:r>
      <w:r>
        <w:rPr>
          <w:rFonts w:ascii="Times New Roman" w:hAnsi="Times New Roman"/>
          <w:b/>
          <w:i w:val="0"/>
          <w:sz w:val="18"/>
        </w:rPr>
        <w:t xml:space="preserve">Brain-age models predict chronological age from structural MRI, and the brain-age gap (predicted minus chronological age) is widely studied as a marker of brain health. Such models are usually judged by accuracy alone, yet an accurate model can still be biased against subgroups or rely on non-anatomical shortcuts. We present a layered audit of a state-of-the-art brain-age network beyond accuracy. We fine-tuned the UK Biobank-pretrained Simple Fully Convolutional Network (SFCN) on 485 T1-weighted scans from the public IXI dataset (three London acquisition sites, ages 20–86). On a test set evaluated once, it reached a mean absolute error of 3.71 years (95% CI 3.10–4.38; </w:t>
      </w:r>
      <w:r>
        <w:rPr>
          <w:rFonts w:ascii="Times New Roman" w:hAnsi="Times New Roman"/>
          <w:b/>
          <w:i w:val="0"/>
          <w:sz w:val="18"/>
        </w:rPr>
        <w:t>r=0.966</w:t>
      </w:r>
      <w:r>
        <w:rPr>
          <w:rFonts w:ascii="Times New Roman" w:hAnsi="Times New Roman"/>
          <w:b/>
          <w:i w:val="0"/>
          <w:sz w:val="18"/>
        </w:rPr>
        <w:t xml:space="preserve">) with no detectable sex disparity. However, scans from one site received an age-adjusted brain-age gap 5.06 years lower than the reference site (CI </w:t>
      </w:r>
      <w:r>
        <w:rPr>
          <w:rFonts w:ascii="Times New Roman" w:hAnsi="Times New Roman"/>
          <w:b/>
          <w:i w:val="0"/>
          <w:sz w:val="18"/>
        </w:rPr>
        <w:t>−8.66</w:t>
      </w:r>
      <w:r>
        <w:rPr>
          <w:rFonts w:ascii="Times New Roman" w:hAnsi="Times New Roman"/>
          <w:b/>
          <w:i w:val="0"/>
          <w:sz w:val="18"/>
        </w:rPr>
        <w:t xml:space="preserve"> to </w:t>
      </w:r>
      <w:r>
        <w:rPr>
          <w:rFonts w:ascii="Times New Roman" w:hAnsi="Times New Roman"/>
          <w:b/>
          <w:i w:val="0"/>
          <w:sz w:val="18"/>
        </w:rPr>
        <w:t>−1.34</w:t>
      </w:r>
      <w:r>
        <w:rPr>
          <w:rFonts w:ascii="Times New Roman" w:hAnsi="Times New Roman"/>
          <w:b/>
          <w:i w:val="0"/>
          <w:sz w:val="18"/>
        </w:rPr>
        <w:t>), an offset that replicated in an independent validation split. Three experiments show that the model is partly right for the wrong reasons: the acquisition site is decodable from its 64-dimensional representation with 91.2% balanced accuracy after removing age and sex (chance 33%); changing only a scan's intensity appearance to another site's shifts predicted age by 3–4 years in the same direction for every subject; and the offset is not explained by global intensity, matched image smoothness or the representation's site signature, which ComBat removes (probe 36.3%) while leaving most of the offset. Attribution maps passed randomisation and deletion tests, and predictive uncertainty doubled on an unseen site while keeping 92% coverage. We summarise the audit as a one-page model fairness passport and release all code.</w:t>
      </w:r>
    </w:p>
    <w:p>
      <w:pPr>
        <w:keepNext w:val="0"/>
        <w:spacing w:before="0" w:after="120" w:line="240" w:lineRule="auto"/>
        <w:jc w:val="both"/>
      </w:pPr>
      <w:r>
        <w:rPr>
          <w:rFonts w:ascii="Times New Roman" w:hAnsi="Times New Roman"/>
          <w:b/>
          <w:i/>
          <w:sz w:val="18"/>
        </w:rPr>
        <w:t>Index Terms</w:t>
      </w:r>
      <w:r>
        <w:rPr>
          <w:rFonts w:ascii="Times New Roman" w:hAnsi="Times New Roman"/>
          <w:b/>
          <w:i w:val="0"/>
          <w:sz w:val="18"/>
        </w:rPr>
        <w:t>—Brain age, MRI, fairness, shortcut learning, explainable AI, site effects, harmonisation, uncertainty.</w:t>
      </w:r>
    </w:p>
    <w:p>
      <w:pPr>
        <w:keepNext/>
        <w:spacing w:before="160" w:after="80" w:line="240" w:lineRule="auto"/>
        <w:jc w:val="center"/>
      </w:pPr>
      <w:r>
        <w:rPr>
          <w:rFonts w:ascii="Times New Roman" w:hAnsi="Times New Roman"/>
          <w:b w:val="0"/>
          <w:i w:val="0"/>
          <w:sz w:val="19"/>
        </w:rPr>
        <w:t>I. INTRODUCTION</w:t>
      </w:r>
    </w:p>
    <w:p>
      <w:pPr>
        <w:keepNext w:val="0"/>
        <w:spacing w:before="0" w:after="40" w:line="240" w:lineRule="auto"/>
        <w:ind w:firstLine="245"/>
        <w:jc w:val="both"/>
      </w:pPr>
      <w:r>
        <w:rPr>
          <w:rFonts w:ascii="Times New Roman" w:hAnsi="Times New Roman"/>
          <w:b w:val="0"/>
          <w:i w:val="0"/>
          <w:sz w:val="20"/>
        </w:rPr>
        <w:t xml:space="preserve">Brain-age models learn to predict a person's chronological age from a structural MRI scan </w:t>
      </w:r>
      <w:r>
        <w:rPr>
          <w:rFonts w:ascii="Times New Roman" w:hAnsi="Times New Roman"/>
          <w:b w:val="0"/>
          <w:i w:val="0"/>
          <w:sz w:val="20"/>
        </w:rPr>
        <w:t>[1], [2]</w:t>
      </w:r>
      <w:r>
        <w:rPr>
          <w:rFonts w:ascii="Times New Roman" w:hAnsi="Times New Roman"/>
          <w:b w:val="0"/>
          <w:i w:val="0"/>
          <w:sz w:val="20"/>
        </w:rPr>
        <w:t xml:space="preserve">. Applied to a new person, the brain-age gap (BAG) between predicted and chronological age is interpreted as accelerated or delayed brain ageing, and it has been associated with mortality, cognitive decline and neurological disease </w:t>
      </w:r>
      <w:r>
        <w:rPr>
          <w:rFonts w:ascii="Times New Roman" w:hAnsi="Times New Roman"/>
          <w:b w:val="0"/>
          <w:i w:val="0"/>
          <w:sz w:val="20"/>
        </w:rPr>
        <w:t>[3]</w:t>
      </w:r>
      <w:r>
        <w:rPr>
          <w:rFonts w:ascii="Times New Roman" w:hAnsi="Times New Roman"/>
          <w:b w:val="0"/>
          <w:i w:val="0"/>
          <w:sz w:val="20"/>
        </w:rPr>
        <w:t xml:space="preserve">. Deep convolutional networks now predict age with errors of a few years </w:t>
      </w:r>
      <w:r>
        <w:rPr>
          <w:rFonts w:ascii="Times New Roman" w:hAnsi="Times New Roman"/>
          <w:b w:val="0"/>
          <w:i w:val="0"/>
          <w:sz w:val="20"/>
        </w:rPr>
        <w:t>[4]–[6]</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val="0"/>
          <w:i w:val="0"/>
          <w:sz w:val="20"/>
        </w:rPr>
        <w:t xml:space="preserve">Accuracy alone does not make a model trustworthy. First, a model can be accurate on average and still be systematically biased for a subgroup </w:t>
      </w:r>
      <w:r>
        <w:rPr>
          <w:rFonts w:ascii="Times New Roman" w:hAnsi="Times New Roman"/>
          <w:b w:val="0"/>
          <w:i w:val="0"/>
          <w:sz w:val="20"/>
        </w:rPr>
        <w:t>[7]–[9]</w:t>
      </w:r>
      <w:r>
        <w:rPr>
          <w:rFonts w:ascii="Times New Roman" w:hAnsi="Times New Roman"/>
          <w:b w:val="0"/>
          <w:i w:val="0"/>
          <w:sz w:val="20"/>
        </w:rPr>
        <w:t xml:space="preserve">. For brain age, a subgroup bias means that the brains of one group look “older” or “younger” for reasons unrelated to biology </w:t>
      </w:r>
      <w:r>
        <w:rPr>
          <w:rFonts w:ascii="Times New Roman" w:hAnsi="Times New Roman"/>
          <w:b w:val="0"/>
          <w:i w:val="0"/>
          <w:sz w:val="20"/>
        </w:rPr>
        <w:t>[10]</w:t>
      </w:r>
      <w:r>
        <w:rPr>
          <w:rFonts w:ascii="Times New Roman" w:hAnsi="Times New Roman"/>
          <w:b w:val="0"/>
          <w:i w:val="0"/>
          <w:sz w:val="20"/>
        </w:rPr>
        <w:t xml:space="preserve">. Second, a model can be </w:t>
      </w:r>
      <w:r>
        <w:rPr>
          <w:rFonts w:ascii="Times New Roman" w:hAnsi="Times New Roman"/>
          <w:b w:val="0"/>
          <w:i/>
          <w:sz w:val="20"/>
        </w:rPr>
        <w:t>right for the wrong reasons</w:t>
      </w:r>
      <w:r>
        <w:rPr>
          <w:rFonts w:ascii="Times New Roman" w:hAnsi="Times New Roman"/>
          <w:b w:val="0"/>
          <w:i w:val="0"/>
          <w:sz w:val="20"/>
        </w:rPr>
        <w:t xml:space="preserve">: deep networks exploit shortcuts </w:t>
      </w:r>
      <w:r>
        <w:rPr>
          <w:rFonts w:ascii="Times New Roman" w:hAnsi="Times New Roman"/>
          <w:b w:val="0"/>
          <w:i w:val="0"/>
          <w:sz w:val="20"/>
        </w:rPr>
        <w:t>[11]</w:t>
      </w:r>
      <w:r>
        <w:rPr>
          <w:rFonts w:ascii="Times New Roman" w:hAnsi="Times New Roman"/>
          <w:b w:val="0"/>
          <w:i w:val="0"/>
          <w:sz w:val="20"/>
        </w:rPr>
        <w:t xml:space="preserve">, and medical-imaging models are known to use hospital-specific acquisition properties instead of pathology </w:t>
      </w:r>
      <w:r>
        <w:rPr>
          <w:rFonts w:ascii="Times New Roman" w:hAnsi="Times New Roman"/>
          <w:b w:val="0"/>
          <w:i w:val="0"/>
          <w:sz w:val="20"/>
        </w:rPr>
        <w:t>[12], [13]</w:t>
      </w:r>
      <w:r>
        <w:rPr>
          <w:rFonts w:ascii="Times New Roman" w:hAnsi="Times New Roman"/>
          <w:b w:val="0"/>
          <w:i w:val="0"/>
          <w:sz w:val="20"/>
        </w:rPr>
        <w:t xml:space="preserve">. In multi-site MRI, scanner and protocol differences are a well-known source of such site effects </w:t>
      </w:r>
      <w:r>
        <w:rPr>
          <w:rFonts w:ascii="Times New Roman" w:hAnsi="Times New Roman"/>
          <w:b w:val="0"/>
          <w:i w:val="0"/>
          <w:sz w:val="20"/>
        </w:rPr>
        <w:t>[14]–[16]</w:t>
      </w:r>
      <w:r>
        <w:rPr>
          <w:rFonts w:ascii="Times New Roman" w:hAnsi="Times New Roman"/>
          <w:b w:val="0"/>
          <w:i w:val="0"/>
          <w:sz w:val="20"/>
        </w:rPr>
        <w:t xml:space="preserve">. Third, the explanations used to inspect a model can themselves be unfaithful </w:t>
      </w:r>
      <w:r>
        <w:rPr>
          <w:rFonts w:ascii="Times New Roman" w:hAnsi="Times New Roman"/>
          <w:b w:val="0"/>
          <w:i w:val="0"/>
          <w:sz w:val="20"/>
        </w:rPr>
        <w:t>[17], [18]</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val="0"/>
          <w:i w:val="0"/>
          <w:sz w:val="20"/>
        </w:rPr>
        <w:t>This work audits a widely used brain-age network on the public IXI dataset along all three axes. We ask:</w:t>
      </w:r>
    </w:p>
    <w:p>
      <w:pPr>
        <w:keepNext w:val="0"/>
        <w:spacing w:before="0" w:after="20" w:line="240" w:lineRule="auto"/>
        <w:ind w:left="288" w:hanging="216"/>
        <w:jc w:val="both"/>
      </w:pPr>
      <w:r>
        <w:rPr>
          <w:rFonts w:ascii="Times New Roman" w:hAnsi="Times New Roman"/>
          <w:b w:val="0"/>
          <w:i w:val="0"/>
          <w:sz w:val="20"/>
        </w:rPr>
        <w:t xml:space="preserve">1)  </w:t>
      </w:r>
      <w:r>
        <w:rPr>
          <w:rFonts w:ascii="Times New Roman" w:hAnsi="Times New Roman"/>
          <w:b/>
          <w:i w:val="0"/>
          <w:sz w:val="20"/>
        </w:rPr>
        <w:t>Accuracy:</w:t>
      </w:r>
      <w:r>
        <w:rPr>
          <w:rFonts w:ascii="Times New Roman" w:hAnsi="Times New Roman"/>
          <w:b w:val="0"/>
          <w:i w:val="0"/>
          <w:sz w:val="20"/>
        </w:rPr>
        <w:t xml:space="preserve"> how accurate is a pretrained brain-age CNN on IXI, and what does fine-tuning add?</w:t>
      </w:r>
    </w:p>
    <w:p>
      <w:pPr>
        <w:keepNext w:val="0"/>
        <w:spacing w:before="0" w:after="20" w:line="240" w:lineRule="auto"/>
        <w:ind w:left="288" w:hanging="216"/>
        <w:jc w:val="both"/>
      </w:pPr>
      <w:r>
        <w:rPr>
          <w:rFonts w:ascii="Times New Roman" w:hAnsi="Times New Roman"/>
          <w:b w:val="0"/>
          <w:i w:val="0"/>
          <w:sz w:val="20"/>
        </w:rPr>
        <w:t xml:space="preserve">2)  </w:t>
      </w:r>
      <w:r>
        <w:rPr>
          <w:rFonts w:ascii="Times New Roman" w:hAnsi="Times New Roman"/>
          <w:b/>
          <w:i w:val="0"/>
          <w:sz w:val="20"/>
        </w:rPr>
        <w:t>Fairness:</w:t>
      </w:r>
      <w:r>
        <w:rPr>
          <w:rFonts w:ascii="Times New Roman" w:hAnsi="Times New Roman"/>
          <w:b w:val="0"/>
          <w:i w:val="0"/>
          <w:sz w:val="20"/>
        </w:rPr>
        <w:t xml:space="preserve"> once age is controlled for, do the error or the BAG differ by sex or by acquisition site, and does the model generalise to a site it never saw?</w:t>
      </w:r>
    </w:p>
    <w:p>
      <w:pPr>
        <w:keepNext w:val="0"/>
        <w:spacing w:before="0" w:after="20" w:line="240" w:lineRule="auto"/>
        <w:ind w:left="288" w:hanging="216"/>
        <w:jc w:val="both"/>
      </w:pPr>
      <w:r>
        <w:rPr>
          <w:rFonts w:ascii="Times New Roman" w:hAnsi="Times New Roman"/>
          <w:b w:val="0"/>
          <w:i w:val="0"/>
          <w:sz w:val="20"/>
        </w:rPr>
        <w:t xml:space="preserve">3)  </w:t>
      </w:r>
      <w:r>
        <w:rPr>
          <w:rFonts w:ascii="Times New Roman" w:hAnsi="Times New Roman"/>
          <w:b/>
          <w:i w:val="0"/>
          <w:sz w:val="20"/>
        </w:rPr>
        <w:t>Right for the wrong reasons?</w:t>
      </w:r>
      <w:r>
        <w:rPr>
          <w:rFonts w:ascii="Times New Roman" w:hAnsi="Times New Roman"/>
          <w:b w:val="0"/>
          <w:i w:val="0"/>
          <w:sz w:val="20"/>
        </w:rPr>
        <w:t xml:space="preserve"> Does the model's representation encode the acquisition site, does its prediction respond to acquisition appearance when anatomy is fixed, and can the site disparity be explained by measurable acquisition properties?</w:t>
      </w:r>
    </w:p>
    <w:p>
      <w:pPr>
        <w:keepNext w:val="0"/>
        <w:spacing w:before="0" w:after="40" w:line="240" w:lineRule="auto"/>
        <w:ind w:firstLine="245"/>
        <w:jc w:val="both"/>
      </w:pPr>
      <w:r>
        <w:rPr>
          <w:rFonts w:ascii="Times New Roman" w:hAnsi="Times New Roman"/>
          <w:b w:val="0"/>
          <w:i w:val="0"/>
          <w:sz w:val="20"/>
        </w:rPr>
        <w:t>Our contributions are:</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 xml:space="preserve">A reproducible, layered audit protocol for brain-age models that goes beyond accuracy (Fig. </w:t>
      </w:r>
      <w:r>
        <w:rPr>
          <w:rFonts w:ascii="Times New Roman" w:hAnsi="Times New Roman"/>
          <w:b w:val="0"/>
          <w:i w:val="0"/>
          <w:sz w:val="20"/>
        </w:rPr>
        <w:t>1</w:t>
      </w:r>
      <w:r>
        <w:rPr>
          <w:rFonts w:ascii="Times New Roman" w:hAnsi="Times New Roman"/>
          <w:b w:val="0"/>
          <w:i w:val="0"/>
          <w:sz w:val="20"/>
        </w:rPr>
        <w:t>), with age-adjusted group comparisons, bootstrap confidence intervals and a single use of the test set.</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 xml:space="preserve">Evidence that a fine-tuned SFCN encodes the acquisition site (91.2% probe accuracy) and that its predictions shift by 3–4 years under an </w:t>
      </w:r>
      <w:r>
        <w:rPr>
          <w:rFonts w:ascii="Times New Roman" w:hAnsi="Times New Roman"/>
          <w:b w:val="0"/>
          <w:i/>
          <w:sz w:val="20"/>
        </w:rPr>
        <w:t>age- and sex-standardised</w:t>
      </w:r>
      <w:r>
        <w:rPr>
          <w:rFonts w:ascii="Times New Roman" w:hAnsi="Times New Roman"/>
          <w:b w:val="0"/>
          <w:i w:val="0"/>
          <w:sz w:val="20"/>
        </w:rPr>
        <w:t xml:space="preserve"> acquisition-appearance swap that leaves anatomy unchanged.</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 xml:space="preserve">A rule-out analysis showing that a robust 5-year site offset is </w:t>
      </w:r>
      <w:r>
        <w:rPr>
          <w:rFonts w:ascii="Times New Roman" w:hAnsi="Times New Roman"/>
          <w:b w:val="0"/>
          <w:i/>
          <w:sz w:val="20"/>
        </w:rPr>
        <w:t>not</w:t>
      </w:r>
      <w:r>
        <w:rPr>
          <w:rFonts w:ascii="Times New Roman" w:hAnsi="Times New Roman"/>
          <w:b w:val="0"/>
          <w:i w:val="0"/>
          <w:sz w:val="20"/>
        </w:rPr>
        <w:t xml:space="preserve"> explained by intensity profile, matched image smoothness or the representation's site signature, cautioning against attributing site disparities to “scanner bias” without testing.</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Validation of the explanations and uncertainty used in the audit: attribution maps that pass randomisation and deletion tests, and predictive uncertainty that flags an unseen site while keeping near-nominal coverage.</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 xml:space="preserve">A one-page </w:t>
      </w:r>
      <w:r>
        <w:rPr>
          <w:rFonts w:ascii="Times New Roman" w:hAnsi="Times New Roman"/>
          <w:b w:val="0"/>
          <w:i/>
          <w:sz w:val="20"/>
        </w:rPr>
        <w:t>model fairness passport</w:t>
      </w:r>
      <w:r>
        <w:rPr>
          <w:rFonts w:ascii="Times New Roman" w:hAnsi="Times New Roman"/>
          <w:b w:val="0"/>
          <w:i w:val="0"/>
          <w:sz w:val="20"/>
        </w:rPr>
        <w:t xml:space="preserve"> that turns the audit into actionable usage guidance, in the spirit of model cards </w:t>
      </w:r>
      <w:r>
        <w:rPr>
          <w:rFonts w:ascii="Times New Roman" w:hAnsi="Times New Roman"/>
          <w:b w:val="0"/>
          <w:i w:val="0"/>
          <w:sz w:val="20"/>
        </w:rPr>
        <w:t>[19]</w:t>
      </w:r>
      <w:r>
        <w:rPr>
          <w:rFonts w:ascii="Times New Roman" w:hAnsi="Times New Roman"/>
          <w:b w:val="0"/>
          <w:i w:val="0"/>
          <w:sz w:val="20"/>
        </w:rPr>
        <w:t>.</w:t>
      </w:r>
    </w:p>
    <w:p>
      <w:pPr>
        <w:sectPr>
          <w:type w:val="continuous"/>
          <w:pgSz w:w="12240" w:h="15840"/>
          <w:pgMar w:top="1080" w:right="965" w:bottom="1440" w:left="965" w:header="720" w:footer="720" w:gutter="0"/>
          <w:cols w:space="360" w:num="2"/>
          <w:docGrid w:linePitch="360"/>
        </w:sectPr>
      </w:pPr>
    </w:p>
    <w:p>
      <w:pPr>
        <w:keepNext/>
        <w:jc w:val="center"/>
      </w:pPr>
      <w:r>
        <w:drawing>
          <wp:inline xmlns:a="http://schemas.openxmlformats.org/drawingml/2006/main" xmlns:pic="http://schemas.openxmlformats.org/drawingml/2006/picture">
            <wp:extent cx="6547104" cy="2286170"/>
            <wp:docPr id="1" name="Picture 1"/>
            <wp:cNvGraphicFramePr>
              <a:graphicFrameLocks noChangeAspect="1"/>
            </wp:cNvGraphicFramePr>
            <a:graphic>
              <a:graphicData uri="http://schemas.openxmlformats.org/drawingml/2006/picture">
                <pic:pic>
                  <pic:nvPicPr>
                    <pic:cNvPr id="0" name="fig1_overview.png"/>
                    <pic:cNvPicPr/>
                  </pic:nvPicPr>
                  <pic:blipFill>
                    <a:blip r:embed="rId9"/>
                    <a:stretch>
                      <a:fillRect/>
                    </a:stretch>
                  </pic:blipFill>
                  <pic:spPr>
                    <a:xfrm>
                      <a:off x="0" y="0"/>
                      <a:ext cx="6547104" cy="2286170"/>
                    </a:xfrm>
                    <a:prstGeom prst="rect"/>
                  </pic:spPr>
                </pic:pic>
              </a:graphicData>
            </a:graphic>
          </wp:inline>
        </w:drawing>
      </w:r>
    </w:p>
    <w:p>
      <w:pPr>
        <w:keepNext w:val="0"/>
        <w:spacing w:before="0" w:after="160" w:line="240" w:lineRule="auto"/>
        <w:jc w:val="center"/>
      </w:pPr>
      <w:r>
        <w:rPr>
          <w:rFonts w:ascii="Times New Roman" w:hAnsi="Times New Roman"/>
          <w:b w:val="0"/>
          <w:i w:val="0"/>
          <w:sz w:val="16"/>
        </w:rPr>
        <w:t xml:space="preserve">Fig. 1.  </w:t>
      </w:r>
      <w:r>
        <w:rPr>
          <w:rFonts w:ascii="Times New Roman" w:hAnsi="Times New Roman"/>
          <w:b w:val="0"/>
          <w:i w:val="0"/>
          <w:sz w:val="16"/>
        </w:rPr>
        <w:t>Overview of the audit. A UK Biobank-pretrained SFCN is fine-tuned on IXI and frozen; four audit layers (accuracy, group fairness, shortcut tests, trust checks) are then applied to held-out subjects only, and summarised as a fairness passport.</w:t>
      </w:r>
    </w:p>
    <w:p>
      <w:pPr>
        <w:sectPr>
          <w:type w:val="continuous"/>
          <w:pgSz w:w="12240" w:h="15840"/>
          <w:pgMar w:top="1080" w:right="965" w:bottom="1440" w:left="965" w:header="720" w:footer="720" w:gutter="0"/>
          <w:cols w:space="360" w:num="1"/>
          <w:docGrid w:linePitch="360"/>
        </w:sectPr>
      </w:pPr>
    </w:p>
    <w:p>
      <w:pPr>
        <w:keepNext/>
        <w:spacing w:before="160" w:after="80" w:line="240" w:lineRule="auto"/>
        <w:jc w:val="center"/>
      </w:pPr>
      <w:r>
        <w:rPr>
          <w:rFonts w:ascii="Times New Roman" w:hAnsi="Times New Roman"/>
          <w:b w:val="0"/>
          <w:i w:val="0"/>
          <w:sz w:val="19"/>
        </w:rPr>
        <w:t>II. RELATED WORK</w:t>
      </w:r>
    </w:p>
    <w:p>
      <w:pPr>
        <w:keepNext w:val="0"/>
        <w:spacing w:before="0" w:after="40" w:line="240" w:lineRule="auto"/>
        <w:ind w:firstLine="245"/>
        <w:jc w:val="both"/>
      </w:pPr>
      <w:r>
        <w:rPr>
          <w:rFonts w:ascii="Times New Roman" w:hAnsi="Times New Roman"/>
          <w:b/>
          <w:i w:val="0"/>
          <w:sz w:val="20"/>
        </w:rPr>
        <w:t>Brain-age prediction.</w:t>
      </w:r>
      <w:r>
        <w:rPr>
          <w:rFonts w:ascii="Times New Roman" w:hAnsi="Times New Roman"/>
          <w:b w:val="0"/>
          <w:i w:val="0"/>
          <w:sz w:val="20"/>
        </w:rPr>
        <w:t xml:space="preserve"> Early brain-age models used regression on regional features </w:t>
      </w:r>
      <w:r>
        <w:rPr>
          <w:rFonts w:ascii="Times New Roman" w:hAnsi="Times New Roman"/>
          <w:b w:val="0"/>
          <w:i w:val="0"/>
          <w:sz w:val="20"/>
        </w:rPr>
        <w:t>[2]</w:t>
      </w:r>
      <w:r>
        <w:rPr>
          <w:rFonts w:ascii="Times New Roman" w:hAnsi="Times New Roman"/>
          <w:b w:val="0"/>
          <w:i w:val="0"/>
          <w:sz w:val="20"/>
        </w:rPr>
        <w:t xml:space="preserve">. Deep 3D CNNs trained on raw images </w:t>
      </w:r>
      <w:r>
        <w:rPr>
          <w:rFonts w:ascii="Times New Roman" w:hAnsi="Times New Roman"/>
          <w:b w:val="0"/>
          <w:i w:val="0"/>
          <w:sz w:val="20"/>
        </w:rPr>
        <w:t>[4]</w:t>
      </w:r>
      <w:r>
        <w:rPr>
          <w:rFonts w:ascii="Times New Roman" w:hAnsi="Times New Roman"/>
          <w:b w:val="0"/>
          <w:i w:val="0"/>
          <w:sz w:val="20"/>
        </w:rPr>
        <w:t xml:space="preserve">, DeepBrainNet trained on 14,468 individuals </w:t>
      </w:r>
      <w:r>
        <w:rPr>
          <w:rFonts w:ascii="Times New Roman" w:hAnsi="Times New Roman"/>
          <w:b w:val="0"/>
          <w:i w:val="0"/>
          <w:sz w:val="20"/>
        </w:rPr>
        <w:t>[6]</w:t>
      </w:r>
      <w:r>
        <w:rPr>
          <w:rFonts w:ascii="Times New Roman" w:hAnsi="Times New Roman"/>
          <w:b w:val="0"/>
          <w:i w:val="0"/>
          <w:sz w:val="20"/>
        </w:rPr>
        <w:t xml:space="preserve"> and the lightweight SFCN trained on UK Biobank </w:t>
      </w:r>
      <w:r>
        <w:rPr>
          <w:rFonts w:ascii="Times New Roman" w:hAnsi="Times New Roman"/>
          <w:b w:val="0"/>
          <w:i w:val="0"/>
          <w:sz w:val="20"/>
        </w:rPr>
        <w:t>[5]</w:t>
      </w:r>
      <w:r>
        <w:rPr>
          <w:rFonts w:ascii="Times New Roman" w:hAnsi="Times New Roman"/>
          <w:b w:val="0"/>
          <w:i w:val="0"/>
          <w:sz w:val="20"/>
        </w:rPr>
        <w:t xml:space="preserve"> brought errors down to a few years. Brain-age estimates regress towards the mean age, so a linear bias correction is standard </w:t>
      </w:r>
      <w:r>
        <w:rPr>
          <w:rFonts w:ascii="Times New Roman" w:hAnsi="Times New Roman"/>
          <w:b w:val="0"/>
          <w:i w:val="0"/>
          <w:sz w:val="20"/>
        </w:rPr>
        <w:t>[20]–[22]</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i w:val="0"/>
          <w:sz w:val="20"/>
        </w:rPr>
        <w:t>Fairness in medical imaging.</w:t>
      </w:r>
      <w:r>
        <w:rPr>
          <w:rFonts w:ascii="Times New Roman" w:hAnsi="Times New Roman"/>
          <w:b w:val="0"/>
          <w:i w:val="0"/>
          <w:sz w:val="20"/>
        </w:rPr>
        <w:t xml:space="preserve"> Imbalanced training data produces biased classifiers </w:t>
      </w:r>
      <w:r>
        <w:rPr>
          <w:rFonts w:ascii="Times New Roman" w:hAnsi="Times New Roman"/>
          <w:b w:val="0"/>
          <w:i w:val="0"/>
          <w:sz w:val="20"/>
        </w:rPr>
        <w:t>[7]</w:t>
      </w:r>
      <w:r>
        <w:rPr>
          <w:rFonts w:ascii="Times New Roman" w:hAnsi="Times New Roman"/>
          <w:b w:val="0"/>
          <w:i w:val="0"/>
          <w:sz w:val="20"/>
        </w:rPr>
        <w:t xml:space="preserve">, and chest X-ray models underdiagnose under-served groups </w:t>
      </w:r>
      <w:r>
        <w:rPr>
          <w:rFonts w:ascii="Times New Roman" w:hAnsi="Times New Roman"/>
          <w:b w:val="0"/>
          <w:i w:val="0"/>
          <w:sz w:val="20"/>
        </w:rPr>
        <w:t>[8]</w:t>
      </w:r>
      <w:r>
        <w:rPr>
          <w:rFonts w:ascii="Times New Roman" w:hAnsi="Times New Roman"/>
          <w:b w:val="0"/>
          <w:i w:val="0"/>
          <w:sz w:val="20"/>
        </w:rPr>
        <w:t xml:space="preserve">; see </w:t>
      </w:r>
      <w:r>
        <w:rPr>
          <w:rFonts w:ascii="Times New Roman" w:hAnsi="Times New Roman"/>
          <w:b w:val="0"/>
          <w:i w:val="0"/>
          <w:sz w:val="20"/>
        </w:rPr>
        <w:t>[9]</w:t>
      </w:r>
      <w:r>
        <w:rPr>
          <w:rFonts w:ascii="Times New Roman" w:hAnsi="Times New Roman"/>
          <w:b w:val="0"/>
          <w:i w:val="0"/>
          <w:sz w:val="20"/>
        </w:rPr>
        <w:t xml:space="preserve"> for a review. For brain age, Piçarra and Glocker analysed race and sex bias in UK Biobank </w:t>
      </w:r>
      <w:r>
        <w:rPr>
          <w:rFonts w:ascii="Times New Roman" w:hAnsi="Times New Roman"/>
          <w:b w:val="0"/>
          <w:i w:val="0"/>
          <w:sz w:val="20"/>
        </w:rPr>
        <w:t>[10]</w:t>
      </w:r>
      <w:r>
        <w:rPr>
          <w:rFonts w:ascii="Times New Roman" w:hAnsi="Times New Roman"/>
          <w:b w:val="0"/>
          <w:i w:val="0"/>
          <w:sz w:val="20"/>
        </w:rPr>
        <w:t xml:space="preserve">. Group differences in performance are distinct from group information being </w:t>
      </w:r>
      <w:r>
        <w:rPr>
          <w:rFonts w:ascii="Times New Roman" w:hAnsi="Times New Roman"/>
          <w:b w:val="0"/>
          <w:i/>
          <w:sz w:val="20"/>
        </w:rPr>
        <w:t>encoded</w:t>
      </w:r>
      <w:r>
        <w:rPr>
          <w:rFonts w:ascii="Times New Roman" w:hAnsi="Times New Roman"/>
          <w:b w:val="0"/>
          <w:i w:val="0"/>
          <w:sz w:val="20"/>
        </w:rPr>
        <w:t xml:space="preserve">: models encode protected characteristics even when not trained to </w:t>
      </w:r>
      <w:r>
        <w:rPr>
          <w:rFonts w:ascii="Times New Roman" w:hAnsi="Times New Roman"/>
          <w:b w:val="0"/>
          <w:i w:val="0"/>
          <w:sz w:val="20"/>
        </w:rPr>
        <w:t>[23]</w:t>
      </w:r>
      <w:r>
        <w:rPr>
          <w:rFonts w:ascii="Times New Roman" w:hAnsi="Times New Roman"/>
          <w:b w:val="0"/>
          <w:i w:val="0"/>
          <w:sz w:val="20"/>
        </w:rPr>
        <w:t xml:space="preserve">, which can be measured with linear probes </w:t>
      </w:r>
      <w:r>
        <w:rPr>
          <w:rFonts w:ascii="Times New Roman" w:hAnsi="Times New Roman"/>
          <w:b w:val="0"/>
          <w:i w:val="0"/>
          <w:sz w:val="20"/>
        </w:rPr>
        <w:t>[24]</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i w:val="0"/>
          <w:sz w:val="20"/>
        </w:rPr>
        <w:t>Site effects and harmonisation.</w:t>
      </w:r>
      <w:r>
        <w:rPr>
          <w:rFonts w:ascii="Times New Roman" w:hAnsi="Times New Roman"/>
          <w:b w:val="0"/>
          <w:i w:val="0"/>
          <w:sz w:val="20"/>
        </w:rPr>
        <w:t xml:space="preserve"> Multi-site imaging carries scanner signatures that models can learn </w:t>
      </w:r>
      <w:r>
        <w:rPr>
          <w:rFonts w:ascii="Times New Roman" w:hAnsi="Times New Roman"/>
          <w:b w:val="0"/>
          <w:i w:val="0"/>
          <w:sz w:val="20"/>
        </w:rPr>
        <w:t>[14]</w:t>
      </w:r>
      <w:r>
        <w:rPr>
          <w:rFonts w:ascii="Times New Roman" w:hAnsi="Times New Roman"/>
          <w:b w:val="0"/>
          <w:i w:val="0"/>
          <w:sz w:val="20"/>
        </w:rPr>
        <w:t xml:space="preserve">. ComBat </w:t>
      </w:r>
      <w:r>
        <w:rPr>
          <w:rFonts w:ascii="Times New Roman" w:hAnsi="Times New Roman"/>
          <w:b w:val="0"/>
          <w:i w:val="0"/>
          <w:sz w:val="20"/>
        </w:rPr>
        <w:t>[25]</w:t>
      </w:r>
      <w:r>
        <w:rPr>
          <w:rFonts w:ascii="Times New Roman" w:hAnsi="Times New Roman"/>
          <w:b w:val="0"/>
          <w:i w:val="0"/>
          <w:sz w:val="20"/>
        </w:rPr>
        <w:t xml:space="preserve"> removes additive and multiplicative site effects and is widely used for MRI-derived measures </w:t>
      </w:r>
      <w:r>
        <w:rPr>
          <w:rFonts w:ascii="Times New Roman" w:hAnsi="Times New Roman"/>
          <w:b w:val="0"/>
          <w:i w:val="0"/>
          <w:sz w:val="20"/>
        </w:rPr>
        <w:t>[15]</w:t>
      </w:r>
      <w:r>
        <w:rPr>
          <w:rFonts w:ascii="Times New Roman" w:hAnsi="Times New Roman"/>
          <w:b w:val="0"/>
          <w:i w:val="0"/>
          <w:sz w:val="20"/>
        </w:rPr>
        <w:t xml:space="preserve">; adversarial unlearning removes site information during training </w:t>
      </w:r>
      <w:r>
        <w:rPr>
          <w:rFonts w:ascii="Times New Roman" w:hAnsi="Times New Roman"/>
          <w:b w:val="0"/>
          <w:i w:val="0"/>
          <w:sz w:val="20"/>
        </w:rPr>
        <w:t>[16], [26]</w:t>
      </w:r>
      <w:r>
        <w:rPr>
          <w:rFonts w:ascii="Times New Roman" w:hAnsi="Times New Roman"/>
          <w:b w:val="0"/>
          <w:i w:val="0"/>
          <w:sz w:val="20"/>
        </w:rPr>
        <w:t xml:space="preserve">. Intensity standardisation by histogram matching is a classical MRI technique </w:t>
      </w:r>
      <w:r>
        <w:rPr>
          <w:rFonts w:ascii="Times New Roman" w:hAnsi="Times New Roman"/>
          <w:b w:val="0"/>
          <w:i w:val="0"/>
          <w:sz w:val="20"/>
        </w:rPr>
        <w:t>[27]</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i w:val="0"/>
          <w:sz w:val="20"/>
        </w:rPr>
        <w:t>Faithful explanations and uncertainty.</w:t>
      </w:r>
      <w:r>
        <w:rPr>
          <w:rFonts w:ascii="Times New Roman" w:hAnsi="Times New Roman"/>
          <w:b w:val="0"/>
          <w:i w:val="0"/>
          <w:sz w:val="20"/>
        </w:rPr>
        <w:t xml:space="preserve"> Grad-CAM </w:t>
      </w:r>
      <w:r>
        <w:rPr>
          <w:rFonts w:ascii="Times New Roman" w:hAnsi="Times New Roman"/>
          <w:b w:val="0"/>
          <w:i w:val="0"/>
          <w:sz w:val="20"/>
        </w:rPr>
        <w:t>[28]</w:t>
      </w:r>
      <w:r>
        <w:rPr>
          <w:rFonts w:ascii="Times New Roman" w:hAnsi="Times New Roman"/>
          <w:b w:val="0"/>
          <w:i w:val="0"/>
          <w:sz w:val="20"/>
        </w:rPr>
        <w:t xml:space="preserve"> is the most common saliency method for CNNs, and HiResCAM provides faithful location-wise maps </w:t>
      </w:r>
      <w:r>
        <w:rPr>
          <w:rFonts w:ascii="Times New Roman" w:hAnsi="Times New Roman"/>
          <w:b w:val="0"/>
          <w:i w:val="0"/>
          <w:sz w:val="20"/>
        </w:rPr>
        <w:t>[29]</w:t>
      </w:r>
      <w:r>
        <w:rPr>
          <w:rFonts w:ascii="Times New Roman" w:hAnsi="Times New Roman"/>
          <w:b w:val="0"/>
          <w:i w:val="0"/>
          <w:sz w:val="20"/>
        </w:rPr>
        <w:t xml:space="preserve">. Saliency maps should pass randomisation sanity checks </w:t>
      </w:r>
      <w:r>
        <w:rPr>
          <w:rFonts w:ascii="Times New Roman" w:hAnsi="Times New Roman"/>
          <w:b w:val="0"/>
          <w:i w:val="0"/>
          <w:sz w:val="20"/>
        </w:rPr>
        <w:t>[17]</w:t>
      </w:r>
      <w:r>
        <w:rPr>
          <w:rFonts w:ascii="Times New Roman" w:hAnsi="Times New Roman"/>
          <w:b w:val="0"/>
          <w:i w:val="0"/>
          <w:sz w:val="20"/>
        </w:rPr>
        <w:t xml:space="preserve"> and perturbation (deletion) tests </w:t>
      </w:r>
      <w:r>
        <w:rPr>
          <w:rFonts w:ascii="Times New Roman" w:hAnsi="Times New Roman"/>
          <w:b w:val="0"/>
          <w:i w:val="0"/>
          <w:sz w:val="20"/>
        </w:rPr>
        <w:t>[18], [30]</w:t>
      </w:r>
      <w:r>
        <w:rPr>
          <w:rFonts w:ascii="Times New Roman" w:hAnsi="Times New Roman"/>
          <w:b w:val="0"/>
          <w:i w:val="0"/>
          <w:sz w:val="20"/>
        </w:rPr>
        <w:t xml:space="preserve">. Neural network confidence is often miscalibrated </w:t>
      </w:r>
      <w:r>
        <w:rPr>
          <w:rFonts w:ascii="Times New Roman" w:hAnsi="Times New Roman"/>
          <w:b w:val="0"/>
          <w:i w:val="0"/>
          <w:sz w:val="20"/>
        </w:rPr>
        <w:t>[31]</w:t>
      </w:r>
      <w:r>
        <w:rPr>
          <w:rFonts w:ascii="Times New Roman" w:hAnsi="Times New Roman"/>
          <w:b w:val="0"/>
          <w:i w:val="0"/>
          <w:sz w:val="20"/>
        </w:rPr>
        <w:t>, so coverage of predictive ranges must be checked.</w:t>
      </w:r>
    </w:p>
    <w:p>
      <w:pPr>
        <w:keepNext w:val="0"/>
        <w:spacing w:before="0" w:after="40" w:line="240" w:lineRule="auto"/>
        <w:ind w:firstLine="245"/>
        <w:jc w:val="both"/>
      </w:pPr>
      <w:r>
        <w:rPr>
          <w:rFonts w:ascii="Times New Roman" w:hAnsi="Times New Roman"/>
          <w:b w:val="0"/>
          <w:i w:val="0"/>
          <w:sz w:val="20"/>
        </w:rPr>
        <w:t>Prior brain-age studies typically report accuracy, sometimes group errors, and rarely test whether a disparity is caused by acquisition. Our audit combines these strands on a single frozen model and tests the shortcut hypothesis directly.</w:t>
      </w:r>
    </w:p>
    <w:p>
      <w:pPr>
        <w:keepNext/>
        <w:spacing w:before="160" w:after="80" w:line="240" w:lineRule="auto"/>
        <w:jc w:val="center"/>
      </w:pPr>
      <w:r>
        <w:rPr>
          <w:rFonts w:ascii="Times New Roman" w:hAnsi="Times New Roman"/>
          <w:b w:val="0"/>
          <w:i w:val="0"/>
          <w:sz w:val="19"/>
        </w:rPr>
        <w:t>III. DATA</w:t>
      </w:r>
    </w:p>
    <w:p>
      <w:pPr>
        <w:keepNext w:val="0"/>
        <w:spacing w:before="0" w:after="40" w:line="240" w:lineRule="auto"/>
        <w:ind w:firstLine="245"/>
        <w:jc w:val="both"/>
      </w:pPr>
      <w:r>
        <w:rPr>
          <w:rFonts w:ascii="Times New Roman" w:hAnsi="Times New Roman"/>
          <w:b/>
          <w:i w:val="0"/>
          <w:sz w:val="20"/>
        </w:rPr>
        <w:t>Dataset.</w:t>
      </w:r>
      <w:r>
        <w:rPr>
          <w:rFonts w:ascii="Times New Roman" w:hAnsi="Times New Roman"/>
          <w:b w:val="0"/>
          <w:i w:val="0"/>
          <w:sz w:val="20"/>
        </w:rPr>
        <w:t xml:space="preserve"> IXI </w:t>
      </w:r>
      <w:r>
        <w:rPr>
          <w:rFonts w:ascii="Times New Roman" w:hAnsi="Times New Roman"/>
          <w:b w:val="0"/>
          <w:i w:val="0"/>
          <w:sz w:val="20"/>
        </w:rPr>
        <w:t>[32]</w:t>
      </w:r>
      <w:r>
        <w:rPr>
          <w:rFonts w:ascii="Times New Roman" w:hAnsi="Times New Roman"/>
          <w:b w:val="0"/>
          <w:i w:val="0"/>
          <w:sz w:val="20"/>
        </w:rPr>
        <w:t xml:space="preserve"> provides T1-weighted MRI and demographics for healthy adults scanned at three London sites: Guy's Hospital (Guys; Philips 1.5 T), Hammersmith Hospital (HH; Philips 3 T) and the Institute of Psychiatry (IOP; GE 1.5 T).</w:t>
      </w:r>
    </w:p>
    <w:p>
      <w:pPr>
        <w:keepNext w:val="0"/>
        <w:spacing w:before="0" w:after="40" w:line="240" w:lineRule="auto"/>
        <w:ind w:firstLine="245"/>
        <w:jc w:val="both"/>
      </w:pPr>
      <w:r>
        <w:rPr>
          <w:rFonts w:ascii="Times New Roman" w:hAnsi="Times New Roman"/>
          <w:b/>
          <w:i w:val="0"/>
          <w:sz w:val="20"/>
        </w:rPr>
        <w:t>Label correction.</w:t>
      </w:r>
      <w:r>
        <w:rPr>
          <w:rFonts w:ascii="Times New Roman" w:hAnsi="Times New Roman"/>
          <w:b w:val="0"/>
          <w:i w:val="0"/>
          <w:sz w:val="20"/>
        </w:rPr>
        <w:t xml:space="preserve"> An early version of our demographics table attached age and sex to the wrong subjects, because a row index had been used as the subject identifier. We rebuilt all labels from the official spreadsheet, joined on the IXI identifier. Two independent rebuilds by different team members agreed with the corrected labels. All results use the corrected labels.</w:t>
      </w:r>
    </w:p>
    <w:p>
      <w:pPr>
        <w:keepNext w:val="0"/>
        <w:spacing w:before="0" w:after="40" w:line="240" w:lineRule="auto"/>
        <w:ind w:firstLine="245"/>
        <w:jc w:val="both"/>
      </w:pPr>
      <w:r>
        <w:rPr>
          <w:rFonts w:ascii="Times New Roman" w:hAnsi="Times New Roman"/>
          <w:b/>
          <w:i w:val="0"/>
          <w:sz w:val="20"/>
        </w:rPr>
        <w:t>Exclusions and splits.</w:t>
      </w:r>
      <w:r>
        <w:rPr>
          <w:rFonts w:ascii="Times New Roman" w:hAnsi="Times New Roman"/>
          <w:b w:val="0"/>
          <w:i w:val="0"/>
          <w:sz w:val="20"/>
        </w:rPr>
        <w:t xml:space="preserve"> We excluded 14 scans (10 without a demographic record, 2 without age, 2 with conflicting duplicates). The remaining 485 subjects were split 339/73/73 into train, validation and test sets, stratified by site (Table </w:t>
      </w:r>
      <w:r>
        <w:rPr>
          <w:rFonts w:ascii="Times New Roman" w:hAnsi="Times New Roman"/>
          <w:b w:val="0"/>
          <w:i w:val="0"/>
          <w:sz w:val="20"/>
        </w:rPr>
        <w:t>I</w:t>
      </w:r>
      <w:r>
        <w:rPr>
          <w:rFonts w:ascii="Times New Roman" w:hAnsi="Times New Roman"/>
          <w:b w:val="0"/>
          <w:i w:val="0"/>
          <w:sz w:val="20"/>
        </w:rPr>
        <w:t xml:space="preserve">). The test set (Guys 42, HH 22, IOP 9; 43 female, 30 male) was evaluated </w:t>
      </w:r>
      <w:r>
        <w:rPr>
          <w:rFonts w:ascii="Times New Roman" w:hAnsi="Times New Roman"/>
          <w:b w:val="0"/>
          <w:i/>
          <w:sz w:val="20"/>
        </w:rPr>
        <w:t>once</w:t>
      </w:r>
      <w:r>
        <w:rPr>
          <w:rFonts w:ascii="Times New Roman" w:hAnsi="Times New Roman"/>
          <w:b w:val="0"/>
          <w:i w:val="0"/>
          <w:sz w:val="20"/>
        </w:rPr>
        <w:t>, after all modelling decisions had been made on train and validation data. IOP recruited younger participants, which is one reason every comparison below adjusts for age.</w:t>
      </w:r>
    </w:p>
    <w:p>
      <w:pPr>
        <w:keepNext/>
        <w:spacing w:before="120" w:after="0" w:line="240" w:lineRule="auto"/>
        <w:jc w:val="center"/>
      </w:pPr>
      <w:r>
        <w:rPr>
          <w:rFonts w:ascii="Times New Roman" w:hAnsi="Times New Roman"/>
          <w:b w:val="0"/>
          <w:i w:val="0"/>
          <w:sz w:val="16"/>
        </w:rPr>
        <w:t>TABLE I</w:t>
      </w:r>
    </w:p>
    <w:p>
      <w:pPr>
        <w:keepNext/>
        <w:spacing w:before="0" w:after="60" w:line="240" w:lineRule="auto"/>
        <w:jc w:val="center"/>
      </w:pPr>
      <w:r>
        <w:rPr>
          <w:rFonts w:ascii="Times New Roman" w:hAnsi="Times New Roman"/>
          <w:b w:val="0"/>
          <w:i w:val="0"/>
          <w:sz w:val="16"/>
        </w:rPr>
        <w:t>Subjects per acquisition site</w:t>
      </w:r>
    </w:p>
    <w:tbl>
      <w:tblPr>
        <w:tblW w:type="auto" w:w="0"/>
        <w:jc w:val="center"/>
        <w:tblLook w:firstColumn="1" w:firstRow="1" w:lastColumn="0" w:lastRow="0" w:noHBand="0" w:noVBand="1" w:val="04A0"/>
      </w:tblPr>
      <w:tblGrid>
        <w:gridCol w:w="2062"/>
        <w:gridCol w:w="2062"/>
        <w:gridCol w:w="2062"/>
        <w:gridCol w:w="2062"/>
        <w:gridCol w:w="2062"/>
      </w:tblGrid>
      <w:tr>
        <w:tc>
          <w:tcPr>
            <w:tcW w:type="dxa" w:w="2062"/>
            <w:tcBorders>
              <w:top w:val="single" w:sz="8"/>
              <w:bottom w:val="nil" w:sz="0"/>
              <w:left w:val="nil"/>
              <w:right w:val="nil"/>
            </w:tcBorders>
          </w:tcPr>
          <w:p>
            <w:pPr>
              <w:spacing w:before="20" w:after="20"/>
              <w:jc w:val="left"/>
            </w:pPr>
            <w:r>
              <w:rPr>
                <w:rFonts w:ascii="Times New Roman" w:hAnsi="Times New Roman"/>
                <w:b/>
                <w:i w:val="0"/>
                <w:sz w:val="16"/>
              </w:rPr>
              <w:t>Site</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Scanner</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 xml:space="preserve">Train </w:t>
            </w:r>
            <w:r>
              <w:rPr>
                <w:rFonts w:ascii="Times New Roman" w:hAnsi="Times New Roman"/>
                <w:b/>
                <w:i w:val="0"/>
                <w:sz w:val="16"/>
              </w:rPr>
              <w:t>n</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Train mean age</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 xml:space="preserve">Held-out </w:t>
            </w:r>
            <w:r>
              <w:rPr>
                <w:rFonts w:ascii="Times New Roman" w:hAnsi="Times New Roman"/>
                <w:b/>
                <w:i w:val="0"/>
                <w:sz w:val="16"/>
              </w:rPr>
              <w:t>n</w:t>
            </w:r>
          </w:p>
        </w:tc>
      </w:tr>
      <w:tr>
        <w:tc>
          <w:tcPr>
            <w:tcW w:type="dxa" w:w="2062"/>
            <w:tcBorders>
              <w:top w:val="single" w:sz="8"/>
              <w:bottom w:val="nil" w:sz="0"/>
              <w:left w:val="nil"/>
              <w:right w:val="nil"/>
            </w:tcBorders>
          </w:tcPr>
          <w:p>
            <w:pPr>
              <w:spacing w:before="20" w:after="20"/>
              <w:jc w:val="left"/>
            </w:pPr>
            <w:r>
              <w:rPr>
                <w:rFonts w:ascii="Times New Roman" w:hAnsi="Times New Roman"/>
                <w:b w:val="0"/>
                <w:i w:val="0"/>
                <w:sz w:val="16"/>
              </w:rPr>
              <w:t>Guys</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Philips 1.5 T</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192</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48.4</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83</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HH</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Philips 3 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104</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47.3</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45</w:t>
            </w:r>
          </w:p>
        </w:tc>
      </w:tr>
      <w:tr>
        <w:tc>
          <w:tcPr>
            <w:tcW w:type="dxa" w:w="2062"/>
            <w:tcBorders>
              <w:top w:val="nil" w:sz="0"/>
              <w:bottom w:val="single" w:sz="8"/>
              <w:left w:val="nil"/>
              <w:right w:val="nil"/>
            </w:tcBorders>
          </w:tcPr>
          <w:p>
            <w:pPr>
              <w:spacing w:before="20" w:after="20"/>
              <w:jc w:val="left"/>
            </w:pPr>
            <w:r>
              <w:rPr>
                <w:rFonts w:ascii="Times New Roman" w:hAnsi="Times New Roman"/>
                <w:b w:val="0"/>
                <w:i w:val="0"/>
                <w:sz w:val="16"/>
              </w:rPr>
              <w:t>IOP</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GE 1.5 T</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43</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40.6</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18</w:t>
            </w:r>
          </w:p>
        </w:tc>
      </w:tr>
    </w:tbl>
    <w:p>
      <w:pPr>
        <w:keepNext w:val="0"/>
        <w:spacing w:before="0" w:after="0" w:line="240" w:lineRule="auto"/>
        <w:jc w:val="left"/>
      </w:pPr>
      <w:r>
        <w:rPr>
          <w:rFonts w:ascii="Times New Roman" w:hAnsi="Times New Roman"/>
          <w:b w:val="0"/>
          <w:i w:val="0"/>
          <w:sz w:val="15"/>
        </w:rPr>
        <w:t>Held-out = validation + test (146 subjects).</w:t>
      </w:r>
    </w:p>
    <w:p>
      <w:pPr>
        <w:keepNext w:val="0"/>
        <w:spacing w:before="0" w:after="0" w:line="240" w:lineRule="auto"/>
        <w:ind w:firstLine="245"/>
        <w:jc w:val="both"/>
      </w:pPr>
    </w:p>
    <w:p>
      <w:pPr>
        <w:keepNext/>
        <w:spacing w:before="160" w:after="80" w:line="240" w:lineRule="auto"/>
        <w:jc w:val="center"/>
      </w:pPr>
      <w:r>
        <w:rPr>
          <w:rFonts w:ascii="Times New Roman" w:hAnsi="Times New Roman"/>
          <w:b w:val="0"/>
          <w:i w:val="0"/>
          <w:sz w:val="19"/>
        </w:rPr>
        <w:t>IV. METHODS</w:t>
      </w:r>
    </w:p>
    <w:p>
      <w:pPr>
        <w:keepNext/>
        <w:spacing w:before="80" w:after="40" w:line="240" w:lineRule="auto"/>
        <w:jc w:val="left"/>
      </w:pPr>
      <w:r>
        <w:rPr>
          <w:rFonts w:ascii="Times New Roman" w:hAnsi="Times New Roman"/>
          <w:b w:val="0"/>
          <w:i/>
          <w:sz w:val="20"/>
        </w:rPr>
        <w:t>A. Preprocessing</w:t>
      </w:r>
    </w:p>
    <w:p>
      <w:pPr>
        <w:keepNext w:val="0"/>
        <w:spacing w:before="0" w:after="40" w:line="240" w:lineRule="auto"/>
        <w:ind w:firstLine="245"/>
        <w:jc w:val="both"/>
      </w:pPr>
      <w:r>
        <w:rPr>
          <w:rFonts w:ascii="Times New Roman" w:hAnsi="Times New Roman"/>
          <w:b w:val="0"/>
          <w:i w:val="0"/>
          <w:sz w:val="20"/>
        </w:rPr>
        <w:t xml:space="preserve">Each scan underwent N4 bias-field correction </w:t>
      </w:r>
      <w:r>
        <w:rPr>
          <w:rFonts w:ascii="Times New Roman" w:hAnsi="Times New Roman"/>
          <w:b w:val="0"/>
          <w:i w:val="0"/>
          <w:sz w:val="20"/>
        </w:rPr>
        <w:t>[33]</w:t>
      </w:r>
      <w:r>
        <w:rPr>
          <w:rFonts w:ascii="Times New Roman" w:hAnsi="Times New Roman"/>
          <w:b w:val="0"/>
          <w:i w:val="0"/>
          <w:sz w:val="20"/>
        </w:rPr>
        <w:t xml:space="preserve">, skull-stripping in native space with ANTsPyNet </w:t>
      </w:r>
      <w:r>
        <w:rPr>
          <w:rFonts w:ascii="Times New Roman" w:hAnsi="Times New Roman"/>
          <w:b w:val="0"/>
          <w:i w:val="0"/>
          <w:sz w:val="20"/>
        </w:rPr>
        <w:t>[34]</w:t>
      </w:r>
      <w:r>
        <w:rPr>
          <w:rFonts w:ascii="Times New Roman" w:hAnsi="Times New Roman"/>
          <w:b w:val="0"/>
          <w:i w:val="0"/>
          <w:sz w:val="20"/>
        </w:rPr>
        <w:t xml:space="preserve">, brain-to-brain affine registration to the MNI152NLin6Asym 1 mm template from TemplateFlow </w:t>
      </w:r>
      <w:r>
        <w:rPr>
          <w:rFonts w:ascii="Times New Roman" w:hAnsi="Times New Roman"/>
          <w:b w:val="0"/>
          <w:i w:val="0"/>
          <w:sz w:val="20"/>
        </w:rPr>
        <w:t>[35]</w:t>
      </w:r>
      <w:r>
        <w:rPr>
          <w:rFonts w:ascii="Times New Roman" w:hAnsi="Times New Roman"/>
          <w:b w:val="0"/>
          <w:i w:val="0"/>
          <w:sz w:val="20"/>
        </w:rPr>
        <w:t xml:space="preserve">, and a centre crop to SFCN's </w:t>
      </w:r>
      <w:r>
        <w:rPr>
          <w:rFonts w:ascii="Times New Roman" w:hAnsi="Times New Roman"/>
          <w:b w:val="0"/>
          <w:i w:val="0"/>
          <w:sz w:val="20"/>
        </w:rPr>
        <w:t>160×192×160</w:t>
      </w:r>
      <w:r>
        <w:rPr>
          <w:rFonts w:ascii="Times New Roman" w:hAnsi="Times New Roman"/>
          <w:b w:val="0"/>
          <w:i w:val="0"/>
          <w:sz w:val="20"/>
        </w:rPr>
        <w:t xml:space="preserve"> input. Quality control used Dice overlap with the template brain, centre offset, edge truncation and native brain volume. Following SFCN's reference implementation, each volume is divided by its mean over the full </w:t>
      </w:r>
      <w:r>
        <w:rPr>
          <w:rFonts w:ascii="Times New Roman" w:hAnsi="Times New Roman"/>
          <w:b w:val="0"/>
          <w:i w:val="0"/>
          <w:sz w:val="20"/>
        </w:rPr>
        <w:t>182×218×182</w:t>
      </w:r>
      <w:r>
        <w:rPr>
          <w:rFonts w:ascii="Times New Roman" w:hAnsi="Times New Roman"/>
          <w:b w:val="0"/>
          <w:i w:val="0"/>
          <w:sz w:val="20"/>
        </w:rPr>
        <w:t xml:space="preserve"> template box; normalising by the mean of the cropped volume instead makes inputs about </w:t>
      </w:r>
      <w:r>
        <w:rPr>
          <w:rFonts w:ascii="Times New Roman" w:hAnsi="Times New Roman"/>
          <w:b w:val="0"/>
          <w:i w:val="0"/>
          <w:sz w:val="20"/>
        </w:rPr>
        <w:t>1.47×</w:t>
      </w:r>
      <w:r>
        <w:rPr>
          <w:rFonts w:ascii="Times New Roman" w:hAnsi="Times New Roman"/>
          <w:b w:val="0"/>
          <w:i w:val="0"/>
          <w:sz w:val="20"/>
        </w:rPr>
        <w:t xml:space="preserve"> too small and collapses the pretrained model's outputs.</w:t>
      </w:r>
    </w:p>
    <w:p>
      <w:pPr>
        <w:keepNext/>
        <w:spacing w:before="80" w:after="40" w:line="240" w:lineRule="auto"/>
        <w:jc w:val="left"/>
      </w:pPr>
      <w:r>
        <w:rPr>
          <w:rFonts w:ascii="Times New Roman" w:hAnsi="Times New Roman"/>
          <w:b w:val="0"/>
          <w:i/>
          <w:sz w:val="20"/>
        </w:rPr>
        <w:t>B. Model and fine-tuning</w:t>
      </w:r>
    </w:p>
    <w:p>
      <w:pPr>
        <w:keepNext w:val="0"/>
        <w:spacing w:before="0" w:after="40" w:line="240" w:lineRule="auto"/>
        <w:ind w:firstLine="245"/>
        <w:jc w:val="both"/>
      </w:pPr>
      <w:r>
        <w:rPr>
          <w:rFonts w:ascii="Times New Roman" w:hAnsi="Times New Roman"/>
          <w:b w:val="0"/>
          <w:i w:val="0"/>
          <w:sz w:val="20"/>
        </w:rPr>
        <w:t xml:space="preserve">SFCN </w:t>
      </w:r>
      <w:r>
        <w:rPr>
          <w:rFonts w:ascii="Times New Roman" w:hAnsi="Times New Roman"/>
          <w:b w:val="0"/>
          <w:i w:val="0"/>
          <w:sz w:val="20"/>
        </w:rPr>
        <w:t>[5]</w:t>
      </w:r>
      <w:r>
        <w:rPr>
          <w:rFonts w:ascii="Times New Roman" w:hAnsi="Times New Roman"/>
          <w:b w:val="0"/>
          <w:i w:val="0"/>
          <w:sz w:val="20"/>
        </w:rPr>
        <w:t xml:space="preserve"> is a 3D CNN with five convolution–batch-norm–max-pool–ReLU blocks and a </w:t>
      </w:r>
      <w:r>
        <w:rPr>
          <w:rFonts w:ascii="Times New Roman" w:hAnsi="Times New Roman"/>
          <w:b w:val="0"/>
          <w:i w:val="0"/>
          <w:sz w:val="20"/>
        </w:rPr>
        <w:t>1×1×1</w:t>
      </w:r>
      <w:r>
        <w:rPr>
          <w:rFonts w:ascii="Times New Roman" w:hAnsi="Times New Roman"/>
          <w:b w:val="0"/>
          <w:i w:val="0"/>
          <w:sz w:val="20"/>
        </w:rPr>
        <w:t xml:space="preserve"> block, followed by global average pooling to a 64-dimensional feature vector and a </w:t>
      </w:r>
      <w:r>
        <w:rPr>
          <w:rFonts w:ascii="Times New Roman" w:hAnsi="Times New Roman"/>
          <w:b w:val="0"/>
          <w:i w:val="0"/>
          <w:sz w:val="20"/>
        </w:rPr>
        <w:t>1×1×1</w:t>
      </w:r>
      <w:r>
        <w:rPr>
          <w:rFonts w:ascii="Times New Roman" w:hAnsi="Times New Roman"/>
          <w:b w:val="0"/>
          <w:i w:val="0"/>
          <w:sz w:val="20"/>
        </w:rPr>
        <w:t xml:space="preserve"> convolution that outputs a probability </w:t>
      </w:r>
      <w:r>
        <w:rPr>
          <w:rFonts w:ascii="Times New Roman" w:hAnsi="Times New Roman"/>
          <w:b w:val="0"/>
          <w:i w:val="0"/>
          <w:sz w:val="20"/>
        </w:rPr>
        <w:t>p_k</w:t>
      </w:r>
      <w:r>
        <w:rPr>
          <w:rFonts w:ascii="Times New Roman" w:hAnsi="Times New Roman"/>
          <w:b w:val="0"/>
          <w:i w:val="0"/>
          <w:sz w:val="20"/>
        </w:rPr>
        <w:t xml:space="preserve"> for each one-year age bin with centre </w:t>
      </w:r>
      <w:r>
        <w:rPr>
          <w:rFonts w:ascii="Times New Roman" w:hAnsi="Times New Roman"/>
          <w:b w:val="0"/>
          <w:i w:val="0"/>
          <w:sz w:val="20"/>
        </w:rPr>
        <w:t>c_k</w:t>
      </w:r>
      <w:r>
        <w:rPr>
          <w:rFonts w:ascii="Times New Roman" w:hAnsi="Times New Roman"/>
          <w:b w:val="0"/>
          <w:i w:val="0"/>
          <w:sz w:val="20"/>
        </w:rPr>
        <w:t xml:space="preserve">. The prediction is the expected value </w:t>
      </w:r>
      <w:r>
        <w:rPr>
          <w:rFonts w:ascii="Times New Roman" w:hAnsi="Times New Roman"/>
          <w:b w:val="0"/>
          <w:i w:val="0"/>
          <w:sz w:val="20"/>
        </w:rPr>
        <w:t>ŷ=Σₖ pₖcₖ</w:t>
      </w:r>
      <w:r>
        <w:rPr>
          <w:rFonts w:ascii="Times New Roman" w:hAnsi="Times New Roman"/>
          <w:b w:val="0"/>
          <w:i w:val="0"/>
          <w:sz w:val="20"/>
        </w:rPr>
        <w:t>. The published UK Biobank head covers ages 42–82, so we replaced it with 72 bins covering 18–90, warm-starting the bins for 42–82 from the pretrained head. Training used Gaussian soft labels (</w:t>
      </w:r>
      <w:r>
        <w:rPr>
          <w:rFonts w:ascii="Times New Roman" w:hAnsi="Times New Roman"/>
          <w:b w:val="0"/>
          <w:i w:val="0"/>
          <w:sz w:val="20"/>
        </w:rPr>
        <w:t>σ=2</w:t>
      </w:r>
      <w:r>
        <w:rPr>
          <w:rFonts w:ascii="Times New Roman" w:hAnsi="Times New Roman"/>
          <w:b w:val="0"/>
          <w:i w:val="0"/>
          <w:sz w:val="20"/>
        </w:rPr>
        <w:t xml:space="preserve"> years) and a Kullback–Leibler loss, in two stages: the head only (5 epochs, learning rate </w:t>
      </w:r>
      <w:r>
        <w:rPr>
          <w:rFonts w:ascii="Times New Roman" w:hAnsi="Times New Roman"/>
          <w:b w:val="0"/>
          <w:i w:val="0"/>
          <w:sz w:val="20"/>
        </w:rPr>
        <w:t>10⁻³</w:t>
      </w:r>
      <w:r>
        <w:rPr>
          <w:rFonts w:ascii="Times New Roman" w:hAnsi="Times New Roman"/>
          <w:b w:val="0"/>
          <w:i w:val="0"/>
          <w:sz w:val="20"/>
        </w:rPr>
        <w:t xml:space="preserve">), then the whole network with AdamW </w:t>
      </w:r>
      <w:r>
        <w:rPr>
          <w:rFonts w:ascii="Times New Roman" w:hAnsi="Times New Roman"/>
          <w:b w:val="0"/>
          <w:i w:val="0"/>
          <w:sz w:val="20"/>
        </w:rPr>
        <w:t>[36]</w:t>
      </w:r>
      <w:r>
        <w:rPr>
          <w:rFonts w:ascii="Times New Roman" w:hAnsi="Times New Roman"/>
          <w:b w:val="0"/>
          <w:i w:val="0"/>
          <w:sz w:val="20"/>
        </w:rPr>
        <w:t xml:space="preserve"> (head </w:t>
      </w:r>
      <w:r>
        <w:rPr>
          <w:rFonts w:ascii="Times New Roman" w:hAnsi="Times New Roman"/>
          <w:b w:val="0"/>
          <w:i w:val="0"/>
          <w:sz w:val="20"/>
        </w:rPr>
        <w:t>10⁻³</w:t>
      </w:r>
      <w:r>
        <w:rPr>
          <w:rFonts w:ascii="Times New Roman" w:hAnsi="Times New Roman"/>
          <w:b w:val="0"/>
          <w:i w:val="0"/>
          <w:sz w:val="20"/>
        </w:rPr>
        <w:t xml:space="preserve">, backbone </w:t>
      </w:r>
      <w:r>
        <w:rPr>
          <w:rFonts w:ascii="Times New Roman" w:hAnsi="Times New Roman"/>
          <w:b w:val="0"/>
          <w:i w:val="0"/>
          <w:sz w:val="20"/>
        </w:rPr>
        <w:t>10⁻⁴</w:t>
      </w:r>
      <w:r>
        <w:rPr>
          <w:rFonts w:ascii="Times New Roman" w:hAnsi="Times New Roman"/>
          <w:b w:val="0"/>
          <w:i w:val="0"/>
          <w:sz w:val="20"/>
        </w:rPr>
        <w:t>) for up to 60 epochs with early stopping on validation MAE (patience 15) and learning-rate reduction on plateau. The selected checkpoint (epoch 30) was frozen for every analysis that follows.</w:t>
      </w:r>
    </w:p>
    <w:p>
      <w:pPr>
        <w:keepNext w:val="0"/>
        <w:spacing w:before="0" w:after="40" w:line="240" w:lineRule="auto"/>
        <w:ind w:firstLine="245"/>
        <w:jc w:val="both"/>
      </w:pPr>
      <w:r>
        <w:rPr>
          <w:rFonts w:ascii="Times New Roman" w:hAnsi="Times New Roman"/>
          <w:b w:val="0"/>
          <w:i w:val="0"/>
          <w:sz w:val="20"/>
        </w:rPr>
        <w:t xml:space="preserve">As a replication, SFCN and DeepBrainNet </w:t>
      </w:r>
      <w:r>
        <w:rPr>
          <w:rFonts w:ascii="Times New Roman" w:hAnsi="Times New Roman"/>
          <w:b w:val="0"/>
          <w:i w:val="0"/>
          <w:sz w:val="20"/>
        </w:rPr>
        <w:t>[6]</w:t>
      </w:r>
      <w:r>
        <w:rPr>
          <w:rFonts w:ascii="Times New Roman" w:hAnsi="Times New Roman"/>
          <w:b w:val="0"/>
          <w:i w:val="0"/>
          <w:sz w:val="20"/>
        </w:rPr>
        <w:t xml:space="preserve"> were also fine-tuned independently with an alternative preprocessing pipeline on the same split.</w:t>
      </w:r>
    </w:p>
    <w:p>
      <w:pPr>
        <w:keepNext/>
        <w:spacing w:before="80" w:after="40" w:line="240" w:lineRule="auto"/>
        <w:jc w:val="left"/>
      </w:pPr>
      <w:r>
        <w:rPr>
          <w:rFonts w:ascii="Times New Roman" w:hAnsi="Times New Roman"/>
          <w:b w:val="0"/>
          <w:i/>
          <w:sz w:val="20"/>
        </w:rPr>
        <w:t>C. Evaluation and bias correction</w:t>
      </w:r>
    </w:p>
    <w:p>
      <w:pPr>
        <w:keepNext w:val="0"/>
        <w:spacing w:before="0" w:after="40" w:line="240" w:lineRule="auto"/>
        <w:ind w:firstLine="245"/>
        <w:jc w:val="both"/>
      </w:pPr>
      <w:r>
        <w:rPr>
          <w:rFonts w:ascii="Times New Roman" w:hAnsi="Times New Roman"/>
          <w:b w:val="0"/>
          <w:i w:val="0"/>
          <w:sz w:val="20"/>
        </w:rPr>
        <w:t xml:space="preserve">Following </w:t>
      </w:r>
      <w:r>
        <w:rPr>
          <w:rFonts w:ascii="Times New Roman" w:hAnsi="Times New Roman"/>
          <w:b w:val="0"/>
          <w:i w:val="0"/>
          <w:sz w:val="20"/>
        </w:rPr>
        <w:t>[3], [22]</w:t>
      </w:r>
      <w:r>
        <w:rPr>
          <w:rFonts w:ascii="Times New Roman" w:hAnsi="Times New Roman"/>
          <w:b w:val="0"/>
          <w:i w:val="0"/>
          <w:sz w:val="20"/>
        </w:rPr>
        <w:t xml:space="preserve">, we fitted </w:t>
      </w:r>
      <w:r>
        <w:rPr>
          <w:rFonts w:ascii="Times New Roman" w:hAnsi="Times New Roman"/>
          <w:b w:val="0"/>
          <w:i w:val="0"/>
          <w:sz w:val="20"/>
        </w:rPr>
        <w:t>ŷ=a y+b</w:t>
      </w:r>
      <w:r>
        <w:rPr>
          <w:rFonts w:ascii="Times New Roman" w:hAnsi="Times New Roman"/>
          <w:b w:val="0"/>
          <w:i w:val="0"/>
          <w:sz w:val="20"/>
        </w:rPr>
        <w:t xml:space="preserve"> on the </w:t>
      </w:r>
      <w:r>
        <w:rPr>
          <w:rFonts w:ascii="Times New Roman" w:hAnsi="Times New Roman"/>
          <w:b w:val="0"/>
          <w:i/>
          <w:sz w:val="20"/>
        </w:rPr>
        <w:t>validation</w:t>
      </w:r>
      <w:r>
        <w:rPr>
          <w:rFonts w:ascii="Times New Roman" w:hAnsi="Times New Roman"/>
          <w:b w:val="0"/>
          <w:i w:val="0"/>
          <w:sz w:val="20"/>
        </w:rPr>
        <w:t xml:space="preserve"> set (</w:t>
      </w:r>
      <w:r>
        <w:rPr>
          <w:rFonts w:ascii="Times New Roman" w:hAnsi="Times New Roman"/>
          <w:b w:val="0"/>
          <w:i w:val="0"/>
          <w:sz w:val="20"/>
        </w:rPr>
        <w:t>a=0.832</w:t>
      </w:r>
      <w:r>
        <w:rPr>
          <w:rFonts w:ascii="Times New Roman" w:hAnsi="Times New Roman"/>
          <w:b w:val="0"/>
          <w:i w:val="0"/>
          <w:sz w:val="20"/>
        </w:rPr>
        <w:t xml:space="preserve">, </w:t>
      </w:r>
      <w:r>
        <w:rPr>
          <w:rFonts w:ascii="Times New Roman" w:hAnsi="Times New Roman"/>
          <w:b w:val="0"/>
          <w:i w:val="0"/>
          <w:sz w:val="20"/>
        </w:rPr>
        <w:t>b=8.30</w:t>
      </w:r>
      <w:r>
        <w:rPr>
          <w:rFonts w:ascii="Times New Roman" w:hAnsi="Times New Roman"/>
          <w:b w:val="0"/>
          <w:i w:val="0"/>
          <w:sz w:val="20"/>
        </w:rPr>
        <w:t xml:space="preserve">) and corrected predictions as </w:t>
      </w:r>
      <w:r>
        <w:rPr>
          <w:rFonts w:ascii="Times New Roman" w:hAnsi="Times New Roman"/>
          <w:b w:val="0"/>
          <w:i w:val="0"/>
          <w:sz w:val="20"/>
        </w:rPr>
        <w:t>(ŷ−b)/a</w:t>
      </w:r>
      <w:r>
        <w:rPr>
          <w:rFonts w:ascii="Times New Roman" w:hAnsi="Times New Roman"/>
          <w:b w:val="0"/>
          <w:i w:val="0"/>
          <w:sz w:val="20"/>
        </w:rPr>
        <w:t xml:space="preserve">. The corrected BAG is the corrected prediction minus chronological age. We report MAE, RMSE and Pearson </w:t>
      </w:r>
      <w:r>
        <w:rPr>
          <w:rFonts w:ascii="Times New Roman" w:hAnsi="Times New Roman"/>
          <w:b w:val="0"/>
          <w:i w:val="0"/>
          <w:sz w:val="20"/>
        </w:rPr>
        <w:t>r</w:t>
      </w:r>
      <w:r>
        <w:rPr>
          <w:rFonts w:ascii="Times New Roman" w:hAnsi="Times New Roman"/>
          <w:b w:val="0"/>
          <w:i w:val="0"/>
          <w:sz w:val="20"/>
        </w:rPr>
        <w:t xml:space="preserve"> with 95% percentile-bootstrap CIs (5,000 resamples) </w:t>
      </w:r>
      <w:r>
        <w:rPr>
          <w:rFonts w:ascii="Times New Roman" w:hAnsi="Times New Roman"/>
          <w:b w:val="0"/>
          <w:i w:val="0"/>
          <w:sz w:val="20"/>
        </w:rPr>
        <w:t>[37]</w:t>
      </w:r>
      <w:r>
        <w:rPr>
          <w:rFonts w:ascii="Times New Roman" w:hAnsi="Times New Roman"/>
          <w:b w:val="0"/>
          <w:i w:val="0"/>
          <w:sz w:val="20"/>
        </w:rPr>
        <w:t>.</w:t>
      </w:r>
    </w:p>
    <w:p>
      <w:pPr>
        <w:keepNext/>
        <w:spacing w:before="80" w:after="40" w:line="240" w:lineRule="auto"/>
        <w:jc w:val="left"/>
      </w:pPr>
      <w:r>
        <w:rPr>
          <w:rFonts w:ascii="Times New Roman" w:hAnsi="Times New Roman"/>
          <w:b w:val="0"/>
          <w:i/>
          <w:sz w:val="20"/>
        </w:rPr>
        <w:t>D. Fairness audit</w:t>
      </w:r>
    </w:p>
    <w:p>
      <w:pPr>
        <w:keepNext w:val="0"/>
        <w:spacing w:before="0" w:after="40" w:line="240" w:lineRule="auto"/>
        <w:ind w:firstLine="245"/>
        <w:jc w:val="both"/>
      </w:pPr>
      <w:r>
        <w:rPr>
          <w:rFonts w:ascii="Times New Roman" w:hAnsi="Times New Roman"/>
          <w:b w:val="0"/>
          <w:i w:val="0"/>
          <w:sz w:val="20"/>
        </w:rPr>
        <w:t xml:space="preserve">On the test set we fitted ordinary least-squares models </w:t>
      </w:r>
      <w:r>
        <w:rPr>
          <w:rFonts w:ascii="Times New Roman" w:hAnsi="Times New Roman"/>
          <w:b w:val="0"/>
          <w:i w:val="0"/>
          <w:sz w:val="20"/>
        </w:rPr>
        <w:t>BAG ~ sex+site+age</w:t>
      </w:r>
      <w:r>
        <w:rPr>
          <w:rFonts w:ascii="Times New Roman" w:hAnsi="Times New Roman"/>
          <w:b w:val="0"/>
          <w:i w:val="0"/>
          <w:sz w:val="20"/>
        </w:rPr>
        <w:t xml:space="preserve"> and </w:t>
      </w:r>
      <w:r>
        <w:rPr>
          <w:rFonts w:ascii="Times New Roman" w:hAnsi="Times New Roman"/>
          <w:b w:val="0"/>
          <w:i w:val="0"/>
          <w:sz w:val="20"/>
        </w:rPr>
        <w:t>|error| ~ sex+site+age</w:t>
      </w:r>
      <w:r>
        <w:rPr>
          <w:rFonts w:ascii="Times New Roman" w:hAnsi="Times New Roman"/>
          <w:b w:val="0"/>
          <w:i w:val="0"/>
          <w:sz w:val="20"/>
        </w:rPr>
        <w:t xml:space="preserve"> with HC3 robust standard errors </w:t>
      </w:r>
      <w:r>
        <w:rPr>
          <w:rFonts w:ascii="Times New Roman" w:hAnsi="Times New Roman"/>
          <w:b w:val="0"/>
          <w:i w:val="0"/>
          <w:sz w:val="20"/>
        </w:rPr>
        <w:t>[38]</w:t>
      </w:r>
      <w:r>
        <w:rPr>
          <w:rFonts w:ascii="Times New Roman" w:hAnsi="Times New Roman"/>
          <w:b w:val="0"/>
          <w:i w:val="0"/>
          <w:sz w:val="20"/>
        </w:rPr>
        <w:t xml:space="preserve">, reference levels female and Guys, and bootstrap CIs. For </w:t>
      </w:r>
      <w:r>
        <w:rPr>
          <w:rFonts w:ascii="Times New Roman" w:hAnsi="Times New Roman"/>
          <w:b w:val="0"/>
          <w:i/>
          <w:sz w:val="20"/>
        </w:rPr>
        <w:t>leave-one-site-out</w:t>
      </w:r>
      <w:r>
        <w:rPr>
          <w:rFonts w:ascii="Times New Roman" w:hAnsi="Times New Roman"/>
          <w:b w:val="0"/>
          <w:i w:val="0"/>
          <w:sz w:val="20"/>
        </w:rPr>
        <w:t xml:space="preserve"> (LOSO) generalisation, three further models were each trained without one site and evaluated on that site's train and validation subjects (never the test set), against seen-site validation subjects.</w:t>
      </w:r>
    </w:p>
    <w:p>
      <w:pPr>
        <w:keepNext/>
        <w:spacing w:before="80" w:after="40" w:line="240" w:lineRule="auto"/>
        <w:jc w:val="left"/>
      </w:pPr>
      <w:r>
        <w:rPr>
          <w:rFonts w:ascii="Times New Roman" w:hAnsi="Times New Roman"/>
          <w:b w:val="0"/>
          <w:i/>
          <w:sz w:val="20"/>
        </w:rPr>
        <w:t>E. Attribution maps and their validity</w:t>
      </w:r>
    </w:p>
    <w:p>
      <w:pPr>
        <w:keepNext w:val="0"/>
        <w:spacing w:before="0" w:after="40" w:line="240" w:lineRule="auto"/>
        <w:ind w:firstLine="245"/>
        <w:jc w:val="both"/>
      </w:pPr>
      <w:r>
        <w:rPr>
          <w:rFonts w:ascii="Times New Roman" w:hAnsi="Times New Roman"/>
          <w:b w:val="0"/>
          <w:i w:val="0"/>
          <w:sz w:val="20"/>
        </w:rPr>
        <w:t xml:space="preserve">Standard Grad-CAM </w:t>
      </w:r>
      <w:r>
        <w:rPr>
          <w:rFonts w:ascii="Times New Roman" w:hAnsi="Times New Roman"/>
          <w:b w:val="0"/>
          <w:i w:val="0"/>
          <w:sz w:val="20"/>
        </w:rPr>
        <w:t>[28]</w:t>
      </w:r>
      <w:r>
        <w:rPr>
          <w:rFonts w:ascii="Times New Roman" w:hAnsi="Times New Roman"/>
          <w:b w:val="0"/>
          <w:i w:val="0"/>
          <w:sz w:val="20"/>
        </w:rPr>
        <w:t xml:space="preserve"> produced empty maps for 20–80% of subjects at SFCN's layers, so we used the location-wise gradient </w:t>
      </w:r>
      <w:r>
        <w:rPr>
          <w:rFonts w:ascii="Times New Roman" w:hAnsi="Times New Roman"/>
          <w:b w:val="0"/>
          <w:i w:val="0"/>
          <w:sz w:val="20"/>
        </w:rPr>
        <w:t>×</w:t>
      </w:r>
      <w:r>
        <w:rPr>
          <w:rFonts w:ascii="Times New Roman" w:hAnsi="Times New Roman"/>
          <w:b w:val="0"/>
          <w:i w:val="0"/>
          <w:sz w:val="20"/>
        </w:rPr>
        <w:t xml:space="preserve"> activation summed over channels (magnitude), a HiResCAM-style map </w:t>
      </w:r>
      <w:r>
        <w:rPr>
          <w:rFonts w:ascii="Times New Roman" w:hAnsi="Times New Roman"/>
          <w:b w:val="0"/>
          <w:i w:val="0"/>
          <w:sz w:val="20"/>
        </w:rPr>
        <w:t>[29]</w:t>
      </w:r>
      <w:r>
        <w:rPr>
          <w:rFonts w:ascii="Times New Roman" w:hAnsi="Times New Roman"/>
          <w:b w:val="0"/>
          <w:i w:val="0"/>
          <w:sz w:val="20"/>
        </w:rPr>
        <w:t xml:space="preserve">, at block </w:t>
      </w:r>
      <w:r>
        <w:rPr>
          <w:rFonts w:ascii="Consolas" w:hAnsi="Consolas"/>
          <w:b w:val="0"/>
          <w:i w:val="0"/>
          <w:sz w:val="20"/>
        </w:rPr>
        <w:t>conv_2</w:t>
      </w:r>
      <w:r>
        <w:rPr>
          <w:rFonts w:ascii="Times New Roman" w:hAnsi="Times New Roman"/>
          <w:b w:val="0"/>
          <w:i w:val="0"/>
          <w:sz w:val="20"/>
        </w:rPr>
        <w:t xml:space="preserve"> (</w:t>
      </w:r>
      <w:r>
        <w:rPr>
          <w:rFonts w:ascii="Times New Roman" w:hAnsi="Times New Roman"/>
          <w:b w:val="0"/>
          <w:i w:val="0"/>
          <w:sz w:val="20"/>
        </w:rPr>
        <w:t>20×24×20</w:t>
      </w:r>
      <w:r>
        <w:rPr>
          <w:rFonts w:ascii="Times New Roman" w:hAnsi="Times New Roman"/>
          <w:b w:val="0"/>
          <w:i w:val="0"/>
          <w:sz w:val="20"/>
        </w:rPr>
        <w:t xml:space="preserve"> cells of 8 mm), with the predicted age as target. This choice was made before any group comparison. Maps were upsampled, masked, normalised to unit sum and summarised as the share of attribution in 59 Harvard–Oxford regions grouped into 7 coarse regions </w:t>
      </w:r>
      <w:r>
        <w:rPr>
          <w:rFonts w:ascii="Times New Roman" w:hAnsi="Times New Roman"/>
          <w:b w:val="0"/>
          <w:i w:val="0"/>
          <w:sz w:val="20"/>
        </w:rPr>
        <w:t>[39]</w:t>
      </w:r>
      <w:r>
        <w:rPr>
          <w:rFonts w:ascii="Times New Roman" w:hAnsi="Times New Roman"/>
          <w:b w:val="0"/>
          <w:i w:val="0"/>
          <w:sz w:val="20"/>
        </w:rPr>
        <w:t>; group differences on held-out subjects (</w:t>
      </w:r>
      <w:r>
        <w:rPr>
          <w:rFonts w:ascii="Times New Roman" w:hAnsi="Times New Roman"/>
          <w:b w:val="0"/>
          <w:i w:val="0"/>
          <w:sz w:val="20"/>
        </w:rPr>
        <w:t>n=146</w:t>
      </w:r>
      <w:r>
        <w:rPr>
          <w:rFonts w:ascii="Times New Roman" w:hAnsi="Times New Roman"/>
          <w:b w:val="0"/>
          <w:i w:val="0"/>
          <w:sz w:val="20"/>
        </w:rPr>
        <w:t xml:space="preserve">) used </w:t>
      </w:r>
      <w:r>
        <w:rPr>
          <w:rFonts w:ascii="Times New Roman" w:hAnsi="Times New Roman"/>
          <w:b w:val="0"/>
          <w:i w:val="0"/>
          <w:sz w:val="20"/>
        </w:rPr>
        <w:t>share ~ sex+site+age</w:t>
      </w:r>
      <w:r>
        <w:rPr>
          <w:rFonts w:ascii="Times New Roman" w:hAnsi="Times New Roman"/>
          <w:b w:val="0"/>
          <w:i w:val="0"/>
          <w:sz w:val="20"/>
        </w:rPr>
        <w:t xml:space="preserve"> with Benjamini–Hochberg FDR </w:t>
      </w:r>
      <w:r>
        <w:rPr>
          <w:rFonts w:ascii="Times New Roman" w:hAnsi="Times New Roman"/>
          <w:b w:val="0"/>
          <w:i w:val="0"/>
          <w:sz w:val="20"/>
        </w:rPr>
        <w:t>[40]</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val="0"/>
          <w:i w:val="0"/>
          <w:sz w:val="20"/>
        </w:rPr>
        <w:t xml:space="preserve">We tested validity in two ways: a </w:t>
      </w:r>
      <w:r>
        <w:rPr>
          <w:rFonts w:ascii="Times New Roman" w:hAnsi="Times New Roman"/>
          <w:b w:val="0"/>
          <w:i/>
          <w:sz w:val="20"/>
        </w:rPr>
        <w:t>cascading randomisation</w:t>
      </w:r>
      <w:r>
        <w:rPr>
          <w:rFonts w:ascii="Times New Roman" w:hAnsi="Times New Roman"/>
          <w:b w:val="0"/>
          <w:i w:val="0"/>
          <w:sz w:val="20"/>
        </w:rPr>
        <w:t xml:space="preserve"> sanity check </w:t>
      </w:r>
      <w:r>
        <w:rPr>
          <w:rFonts w:ascii="Times New Roman" w:hAnsi="Times New Roman"/>
          <w:b w:val="0"/>
          <w:i w:val="0"/>
          <w:sz w:val="20"/>
        </w:rPr>
        <w:t>[17]</w:t>
      </w:r>
      <w:r>
        <w:rPr>
          <w:rFonts w:ascii="Times New Roman" w:hAnsi="Times New Roman"/>
          <w:b w:val="0"/>
          <w:i w:val="0"/>
          <w:sz w:val="20"/>
        </w:rPr>
        <w:t xml:space="preserve">, re-initialising the layers above the target and comparing maps; and a </w:t>
      </w:r>
      <w:r>
        <w:rPr>
          <w:rFonts w:ascii="Times New Roman" w:hAnsi="Times New Roman"/>
          <w:b w:val="0"/>
          <w:i/>
          <w:sz w:val="20"/>
        </w:rPr>
        <w:t>deletion test</w:t>
      </w:r>
      <w:r>
        <w:rPr>
          <w:rFonts w:ascii="Times New Roman" w:hAnsi="Times New Roman"/>
          <w:b w:val="0"/>
          <w:i w:val="0"/>
          <w:sz w:val="20"/>
        </w:rPr>
        <w:t xml:space="preserve"> </w:t>
      </w:r>
      <w:r>
        <w:rPr>
          <w:rFonts w:ascii="Times New Roman" w:hAnsi="Times New Roman"/>
          <w:b w:val="0"/>
          <w:i w:val="0"/>
          <w:sz w:val="20"/>
        </w:rPr>
        <w:t>[18], [30]</w:t>
      </w:r>
      <w:r>
        <w:rPr>
          <w:rFonts w:ascii="Times New Roman" w:hAnsi="Times New Roman"/>
          <w:b w:val="0"/>
          <w:i w:val="0"/>
          <w:sz w:val="20"/>
        </w:rPr>
        <w:t xml:space="preserve"> on 60 held-out subjects, replacing the top-, bottom- or randomly-ranked 5/10/20% of brain cells with a heavily smoothed copy of the image (Gaussian </w:t>
      </w:r>
      <w:r>
        <w:rPr>
          <w:rFonts w:ascii="Times New Roman" w:hAnsi="Times New Roman"/>
          <w:b w:val="0"/>
          <w:i w:val="0"/>
          <w:sz w:val="20"/>
        </w:rPr>
        <w:t>σ=8</w:t>
      </w:r>
      <w:r>
        <w:rPr>
          <w:rFonts w:ascii="Times New Roman" w:hAnsi="Times New Roman"/>
          <w:b w:val="0"/>
          <w:i w:val="0"/>
          <w:sz w:val="20"/>
        </w:rPr>
        <w:t xml:space="preserve"> voxels) and measuring </w:t>
      </w:r>
      <w:r>
        <w:rPr>
          <w:rFonts w:ascii="Times New Roman" w:hAnsi="Times New Roman"/>
          <w:b w:val="0"/>
          <w:i w:val="0"/>
          <w:sz w:val="20"/>
        </w:rPr>
        <w:t>|Δŷ|</w:t>
      </w:r>
      <w:r>
        <w:rPr>
          <w:rFonts w:ascii="Times New Roman" w:hAnsi="Times New Roman"/>
          <w:b w:val="0"/>
          <w:i w:val="0"/>
          <w:sz w:val="20"/>
        </w:rPr>
        <w:t>. Smoothing keeps local intensity while removing anatomical detail, so every condition applies the same kind of perturbation and only its location differs.</w:t>
      </w:r>
    </w:p>
    <w:p>
      <w:pPr>
        <w:keepNext/>
        <w:spacing w:before="80" w:after="40" w:line="240" w:lineRule="auto"/>
        <w:jc w:val="left"/>
      </w:pPr>
      <w:r>
        <w:rPr>
          <w:rFonts w:ascii="Times New Roman" w:hAnsi="Times New Roman"/>
          <w:b w:val="0"/>
          <w:i/>
          <w:sz w:val="20"/>
        </w:rPr>
        <w:t>F. Shortcut tests</w:t>
      </w:r>
    </w:p>
    <w:p>
      <w:pPr>
        <w:keepNext w:val="0"/>
        <w:spacing w:before="0" w:after="40" w:line="240" w:lineRule="auto"/>
        <w:ind w:firstLine="245"/>
        <w:jc w:val="both"/>
      </w:pPr>
      <w:r>
        <w:rPr>
          <w:rFonts w:ascii="Times New Roman" w:hAnsi="Times New Roman"/>
          <w:b w:val="0"/>
          <w:i w:val="0"/>
          <w:sz w:val="20"/>
        </w:rPr>
        <w:t>All use the frozen model and held-out subjects; nothing is tuned on test labels.</w:t>
      </w:r>
    </w:p>
    <w:p>
      <w:pPr>
        <w:keepNext w:val="0"/>
        <w:spacing w:before="0" w:after="40" w:line="240" w:lineRule="auto"/>
        <w:ind w:firstLine="245"/>
        <w:jc w:val="both"/>
      </w:pPr>
      <w:r>
        <w:rPr>
          <w:rFonts w:ascii="Times New Roman" w:hAnsi="Times New Roman"/>
          <w:b/>
          <w:i w:val="0"/>
          <w:sz w:val="20"/>
        </w:rPr>
        <w:t>Site probe.</w:t>
      </w:r>
      <w:r>
        <w:rPr>
          <w:rFonts w:ascii="Times New Roman" w:hAnsi="Times New Roman"/>
          <w:b w:val="0"/>
          <w:i w:val="0"/>
          <w:sz w:val="20"/>
        </w:rPr>
        <w:t xml:space="preserve"> A class-balanced multinomial logistic regression (regularisation by 5-fold CV on train) was trained on the train subjects' 64-d pooled features to predict site, and scored on held-out subjects with balanced accuracy </w:t>
      </w:r>
      <w:r>
        <w:rPr>
          <w:rFonts w:ascii="Times New Roman" w:hAnsi="Times New Roman"/>
          <w:b w:val="0"/>
          <w:i w:val="0"/>
          <w:sz w:val="20"/>
        </w:rPr>
        <w:t>[23], [24]</w:t>
      </w:r>
      <w:r>
        <w:rPr>
          <w:rFonts w:ascii="Times New Roman" w:hAnsi="Times New Roman"/>
          <w:b w:val="0"/>
          <w:i w:val="0"/>
          <w:sz w:val="20"/>
        </w:rPr>
        <w:t>. We compared demographics only, input-intensity quantiles, pretrained and fine-tuned SFCN features, each with and without age, age</w:t>
      </w:r>
      <w:r>
        <w:rPr>
          <w:rFonts w:ascii="Times New Roman" w:hAnsi="Times New Roman"/>
          <w:b w:val="0"/>
          <w:i w:val="0"/>
          <w:sz w:val="20"/>
        </w:rPr>
        <w:t>²</w:t>
      </w:r>
      <w:r>
        <w:rPr>
          <w:rFonts w:ascii="Times New Roman" w:hAnsi="Times New Roman"/>
          <w:b w:val="0"/>
          <w:i w:val="0"/>
          <w:sz w:val="20"/>
        </w:rPr>
        <w:t xml:space="preserve"> and sex regressed out.</w:t>
      </w:r>
    </w:p>
    <w:p>
      <w:pPr>
        <w:keepNext w:val="0"/>
        <w:spacing w:before="0" w:after="40" w:line="240" w:lineRule="auto"/>
        <w:ind w:firstLine="245"/>
        <w:jc w:val="both"/>
      </w:pPr>
      <w:r>
        <w:rPr>
          <w:rFonts w:ascii="Times New Roman" w:hAnsi="Times New Roman"/>
          <w:b/>
          <w:i w:val="0"/>
          <w:sz w:val="20"/>
        </w:rPr>
        <w:t>Acquisition stress test.</w:t>
      </w:r>
      <w:r>
        <w:rPr>
          <w:rFonts w:ascii="Times New Roman" w:hAnsi="Times New Roman"/>
          <w:b w:val="0"/>
          <w:i w:val="0"/>
          <w:sz w:val="20"/>
        </w:rPr>
        <w:t xml:space="preserve"> Each held-out brain's intensity distribution was quantile-matched (101 quantiles) </w:t>
      </w:r>
      <w:r>
        <w:rPr>
          <w:rFonts w:ascii="Times New Roman" w:hAnsi="Times New Roman"/>
          <w:b w:val="0"/>
          <w:i w:val="0"/>
          <w:sz w:val="20"/>
        </w:rPr>
        <w:t>[27]</w:t>
      </w:r>
      <w:r>
        <w:rPr>
          <w:rFonts w:ascii="Times New Roman" w:hAnsi="Times New Roman"/>
          <w:b w:val="0"/>
          <w:i w:val="0"/>
          <w:sz w:val="20"/>
        </w:rPr>
        <w:t xml:space="preserve"> to each site's reference and its age predicted again. Because IOP recruited younger people and tissue proportions change with age, the references were built from train subjects and </w:t>
      </w:r>
      <w:r>
        <w:rPr>
          <w:rFonts w:ascii="Times New Roman" w:hAnsi="Times New Roman"/>
          <w:b w:val="0"/>
          <w:i/>
          <w:sz w:val="20"/>
        </w:rPr>
        <w:t>standardised to a common age and sex mix</w:t>
      </w:r>
      <w:r>
        <w:rPr>
          <w:rFonts w:ascii="Times New Roman" w:hAnsi="Times New Roman"/>
          <w:b w:val="0"/>
          <w:i w:val="0"/>
          <w:sz w:val="20"/>
        </w:rPr>
        <w:t>: per site, the quantile vector was regressed on age, age</w:t>
      </w:r>
      <w:r>
        <w:rPr>
          <w:rFonts w:ascii="Times New Roman" w:hAnsi="Times New Roman"/>
          <w:b w:val="0"/>
          <w:i w:val="0"/>
          <w:sz w:val="20"/>
        </w:rPr>
        <w:t>²</w:t>
      </w:r>
      <w:r>
        <w:rPr>
          <w:rFonts w:ascii="Times New Roman" w:hAnsi="Times New Roman"/>
          <w:b w:val="0"/>
          <w:i w:val="0"/>
          <w:sz w:val="20"/>
        </w:rPr>
        <w:t xml:space="preserve"> and sex and evaluated at the pooled train mean. Effects are expressed relative to matching to the subject's </w:t>
      </w:r>
      <w:r>
        <w:rPr>
          <w:rFonts w:ascii="Times New Roman" w:hAnsi="Times New Roman"/>
          <w:b w:val="0"/>
          <w:i/>
          <w:sz w:val="20"/>
        </w:rPr>
        <w:t>own</w:t>
      </w:r>
      <w:r>
        <w:rPr>
          <w:rFonts w:ascii="Times New Roman" w:hAnsi="Times New Roman"/>
          <w:b w:val="0"/>
          <w:i w:val="0"/>
          <w:sz w:val="20"/>
        </w:rPr>
        <w:t xml:space="preserve"> site, so the matching operation itself is controlled for. On 40 subjects we also varied single properties: contrast (</w:t>
      </w:r>
      <w:r>
        <w:rPr>
          <w:rFonts w:ascii="Times New Roman" w:hAnsi="Times New Roman"/>
          <w:b w:val="0"/>
          <w:i w:val="0"/>
          <w:sz w:val="20"/>
        </w:rPr>
        <w:t>γ</w:t>
      </w:r>
      <w:r>
        <w:rPr>
          <w:rFonts w:ascii="Times New Roman" w:hAnsi="Times New Roman"/>
          <w:b w:val="0"/>
          <w:i w:val="0"/>
          <w:sz w:val="20"/>
        </w:rPr>
        <w:t>), noise, Gaussian blur and smooth intensity non-uniformity.</w:t>
      </w:r>
    </w:p>
    <w:p>
      <w:pPr>
        <w:keepNext w:val="0"/>
        <w:spacing w:before="0" w:after="40" w:line="240" w:lineRule="auto"/>
        <w:ind w:firstLine="245"/>
        <w:jc w:val="both"/>
      </w:pPr>
      <w:r>
        <w:rPr>
          <w:rFonts w:ascii="Times New Roman" w:hAnsi="Times New Roman"/>
          <w:b/>
          <w:i w:val="0"/>
          <w:sz w:val="20"/>
        </w:rPr>
        <w:t>Image sharpness and matched blur.</w:t>
      </w:r>
      <w:r>
        <w:rPr>
          <w:rFonts w:ascii="Times New Roman" w:hAnsi="Times New Roman"/>
          <w:b w:val="0"/>
          <w:i w:val="0"/>
          <w:sz w:val="20"/>
        </w:rPr>
        <w:t xml:space="preserve"> We read native voxel sizes from the headers and computed three sharpness measures on the model input (mean gradient magnitude, Laplacian spread and a smoothness FWHM estimate </w:t>
      </w:r>
      <w:r>
        <w:rPr>
          <w:rFonts w:ascii="Times New Roman" w:hAnsi="Times New Roman"/>
          <w:b w:val="0"/>
          <w:i w:val="0"/>
          <w:sz w:val="20"/>
        </w:rPr>
        <w:t>[41]</w:t>
      </w:r>
      <w:r>
        <w:rPr>
          <w:rFonts w:ascii="Times New Roman" w:hAnsi="Times New Roman"/>
          <w:b w:val="0"/>
          <w:i w:val="0"/>
          <w:sz w:val="20"/>
        </w:rPr>
        <w:t>), compared across sites adjusting for age and sex. Each held-out Guys and HH brain was then blurred by exactly the amount that raises its FWHM to IOP's adjusted level, and re-predicted.</w:t>
      </w:r>
    </w:p>
    <w:p>
      <w:pPr>
        <w:keepNext w:val="0"/>
        <w:spacing w:before="0" w:after="40" w:line="240" w:lineRule="auto"/>
        <w:ind w:firstLine="245"/>
        <w:jc w:val="both"/>
      </w:pPr>
      <w:r>
        <w:rPr>
          <w:rFonts w:ascii="Times New Roman" w:hAnsi="Times New Roman"/>
          <w:b/>
          <w:i w:val="0"/>
          <w:sz w:val="20"/>
        </w:rPr>
        <w:t>Feature harmonisation.</w:t>
      </w:r>
      <w:r>
        <w:rPr>
          <w:rFonts w:ascii="Times New Roman" w:hAnsi="Times New Roman"/>
          <w:b w:val="0"/>
          <w:i w:val="0"/>
          <w:sz w:val="20"/>
        </w:rPr>
        <w:t xml:space="preserve"> The 64-d features were harmonised with ComBat (location/scale) </w:t>
      </w:r>
      <w:r>
        <w:rPr>
          <w:rFonts w:ascii="Times New Roman" w:hAnsi="Times New Roman"/>
          <w:b w:val="0"/>
          <w:i w:val="0"/>
          <w:sz w:val="20"/>
        </w:rPr>
        <w:t>[15], [25]</w:t>
      </w:r>
      <w:r>
        <w:rPr>
          <w:rFonts w:ascii="Times New Roman" w:hAnsi="Times New Roman"/>
          <w:b w:val="0"/>
          <w:i w:val="0"/>
          <w:sz w:val="20"/>
        </w:rPr>
        <w:t>, preserving age, age</w:t>
      </w:r>
      <w:r>
        <w:rPr>
          <w:rFonts w:ascii="Times New Roman" w:hAnsi="Times New Roman"/>
          <w:b w:val="0"/>
          <w:i w:val="0"/>
          <w:sz w:val="20"/>
        </w:rPr>
        <w:t>²</w:t>
      </w:r>
      <w:r>
        <w:rPr>
          <w:rFonts w:ascii="Times New Roman" w:hAnsi="Times New Roman"/>
          <w:b w:val="0"/>
          <w:i w:val="0"/>
          <w:sz w:val="20"/>
        </w:rPr>
        <w:t xml:space="preserve"> and sex, with parameters estimated on train only. Age was re-predicted through the model's unchanged head; applying the head to the original features reproduces the model's outputs exactly.</w:t>
      </w:r>
    </w:p>
    <w:p>
      <w:pPr>
        <w:keepNext/>
        <w:spacing w:before="80" w:after="40" w:line="240" w:lineRule="auto"/>
        <w:jc w:val="left"/>
      </w:pPr>
      <w:r>
        <w:rPr>
          <w:rFonts w:ascii="Times New Roman" w:hAnsi="Times New Roman"/>
          <w:b w:val="0"/>
          <w:i/>
          <w:sz w:val="20"/>
        </w:rPr>
        <w:t>G. Predictive uncertainty</w:t>
      </w:r>
    </w:p>
    <w:p>
      <w:pPr>
        <w:keepNext w:val="0"/>
        <w:spacing w:before="0" w:after="40" w:line="240" w:lineRule="auto"/>
        <w:ind w:firstLine="245"/>
        <w:jc w:val="both"/>
      </w:pPr>
      <w:r>
        <w:rPr>
          <w:rFonts w:ascii="Times New Roman" w:hAnsi="Times New Roman"/>
          <w:b w:val="0"/>
          <w:i w:val="0"/>
          <w:sz w:val="20"/>
        </w:rPr>
        <w:t>Uncertainty was the standard deviation of the model's predicted age distribution, and coverage the fraction of subjects whose true age falls in the distribution's 5th–95th percentile range. We computed both for the main model and for the LOSO models without IOP and without HH.</w:t>
      </w:r>
    </w:p>
    <w:p>
      <w:pPr>
        <w:keepNext/>
        <w:spacing w:before="160" w:after="80" w:line="240" w:lineRule="auto"/>
        <w:jc w:val="center"/>
      </w:pPr>
      <w:r>
        <w:rPr>
          <w:rFonts w:ascii="Times New Roman" w:hAnsi="Times New Roman"/>
          <w:b w:val="0"/>
          <w:i w:val="0"/>
          <w:sz w:val="19"/>
        </w:rPr>
        <w:t>V. RESULTS</w:t>
      </w:r>
    </w:p>
    <w:p>
      <w:pPr>
        <w:keepNext/>
        <w:spacing w:before="80" w:after="40" w:line="240" w:lineRule="auto"/>
        <w:jc w:val="left"/>
      </w:pPr>
      <w:r>
        <w:rPr>
          <w:rFonts w:ascii="Times New Roman" w:hAnsi="Times New Roman"/>
          <w:b w:val="0"/>
          <w:i/>
          <w:sz w:val="20"/>
        </w:rPr>
        <w:t>A. Accuracy</w:t>
      </w:r>
    </w:p>
    <w:p>
      <w:pPr>
        <w:keepNext w:val="0"/>
        <w:spacing w:before="0" w:after="40" w:line="240" w:lineRule="auto"/>
        <w:ind w:firstLine="245"/>
        <w:jc w:val="both"/>
      </w:pPr>
      <w:r>
        <w:rPr>
          <w:rFonts w:ascii="Times New Roman" w:hAnsi="Times New Roman"/>
          <w:b w:val="0"/>
          <w:i w:val="0"/>
          <w:sz w:val="20"/>
        </w:rPr>
        <w:t>Without fine-tuning, the UK Biobank SFCN was strongly age-related on validation (</w:t>
      </w:r>
      <w:r>
        <w:rPr>
          <w:rFonts w:ascii="Times New Roman" w:hAnsi="Times New Roman"/>
          <w:b w:val="0"/>
          <w:i w:val="0"/>
          <w:sz w:val="20"/>
        </w:rPr>
        <w:t>r=0.910</w:t>
      </w:r>
      <w:r>
        <w:rPr>
          <w:rFonts w:ascii="Times New Roman" w:hAnsi="Times New Roman"/>
          <w:b w:val="0"/>
          <w:i w:val="0"/>
          <w:sz w:val="20"/>
        </w:rPr>
        <w:t>), but its MAE was 10.21 years [8.19, 12.29]: its head cannot predict outside 42–82, so everyone under about 45 was predicted to be 51–61. Fine-tuning reduced validation MAE to 3.90 (</w:t>
      </w:r>
      <w:r>
        <w:rPr>
          <w:rFonts w:ascii="Times New Roman" w:hAnsi="Times New Roman"/>
          <w:b w:val="0"/>
          <w:i w:val="0"/>
          <w:sz w:val="20"/>
        </w:rPr>
        <w:t>r=0.961</w:t>
      </w:r>
      <w:r>
        <w:rPr>
          <w:rFonts w:ascii="Times New Roman" w:hAnsi="Times New Roman"/>
          <w:b w:val="0"/>
          <w:i w:val="0"/>
          <w:sz w:val="20"/>
        </w:rPr>
        <w:t xml:space="preserve">). On the test set, evaluated once, the model reached an MAE of </w:t>
      </w:r>
      <w:r>
        <w:rPr>
          <w:rFonts w:ascii="Times New Roman" w:hAnsi="Times New Roman"/>
          <w:b/>
          <w:i w:val="0"/>
          <w:sz w:val="20"/>
        </w:rPr>
        <w:t>3.71</w:t>
      </w:r>
      <w:r>
        <w:rPr>
          <w:rFonts w:ascii="Times New Roman" w:hAnsi="Times New Roman"/>
          <w:b w:val="0"/>
          <w:i w:val="0"/>
          <w:sz w:val="20"/>
        </w:rPr>
        <w:t xml:space="preserve"> years [3.10, 4.38] and </w:t>
      </w:r>
      <w:r>
        <w:rPr>
          <w:rFonts w:ascii="Times New Roman" w:hAnsi="Times New Roman"/>
          <w:b w:val="0"/>
          <w:i w:val="0"/>
          <w:sz w:val="20"/>
        </w:rPr>
        <w:t>r=0.966</w:t>
      </w:r>
      <w:r>
        <w:rPr>
          <w:rFonts w:ascii="Times New Roman" w:hAnsi="Times New Roman"/>
          <w:b w:val="0"/>
          <w:i w:val="0"/>
          <w:sz w:val="20"/>
        </w:rPr>
        <w:t xml:space="preserve"> [0.952, 0.978] (Table </w:t>
      </w:r>
      <w:r>
        <w:rPr>
          <w:rFonts w:ascii="Times New Roman" w:hAnsi="Times New Roman"/>
          <w:b w:val="0"/>
          <w:i w:val="0"/>
          <w:sz w:val="20"/>
        </w:rPr>
        <w:t>II</w:t>
      </w:r>
      <w:r>
        <w:rPr>
          <w:rFonts w:ascii="Times New Roman" w:hAnsi="Times New Roman"/>
          <w:b w:val="0"/>
          <w:i w:val="0"/>
          <w:sz w:val="20"/>
        </w:rPr>
        <w:t xml:space="preserve">, Fig. </w:t>
      </w:r>
      <w:r>
        <w:rPr>
          <w:rFonts w:ascii="Times New Roman" w:hAnsi="Times New Roman"/>
          <w:b w:val="0"/>
          <w:i w:val="0"/>
          <w:sz w:val="20"/>
        </w:rPr>
        <w:t>2</w:t>
      </w:r>
      <w:r>
        <w:rPr>
          <w:rFonts w:ascii="Times New Roman" w:hAnsi="Times New Roman"/>
          <w:b w:val="0"/>
          <w:i w:val="0"/>
          <w:sz w:val="20"/>
        </w:rPr>
        <w:t xml:space="preserve">). Bias correction removed most of the age dependence of the BAG (correlation </w:t>
      </w:r>
      <w:r>
        <w:rPr>
          <w:rFonts w:ascii="Times New Roman" w:hAnsi="Times New Roman"/>
          <w:b w:val="0"/>
          <w:i w:val="0"/>
          <w:sz w:val="20"/>
        </w:rPr>
        <w:t>−0.49→+0.17</w:t>
      </w:r>
      <w:r>
        <w:rPr>
          <w:rFonts w:ascii="Times New Roman" w:hAnsi="Times New Roman"/>
          <w:b w:val="0"/>
          <w:i w:val="0"/>
          <w:sz w:val="20"/>
        </w:rPr>
        <w:t>). The independent replication reached test MAE 4.07 (SFCN) and 4.53 (DeepBrainNet); the two SFCN fine-tunes were equivalent on validation (3.90 vs 3.88).</w:t>
      </w:r>
    </w:p>
    <w:p>
      <w:pPr>
        <w:keepNext/>
        <w:spacing w:before="120" w:after="0" w:line="240" w:lineRule="auto"/>
        <w:jc w:val="center"/>
      </w:pPr>
      <w:r>
        <w:rPr>
          <w:rFonts w:ascii="Times New Roman" w:hAnsi="Times New Roman"/>
          <w:b w:val="0"/>
          <w:i w:val="0"/>
          <w:sz w:val="16"/>
        </w:rPr>
        <w:t>TABLE II</w:t>
      </w:r>
    </w:p>
    <w:p>
      <w:pPr>
        <w:keepNext/>
        <w:spacing w:before="0" w:after="60" w:line="240" w:lineRule="auto"/>
        <w:jc w:val="center"/>
      </w:pPr>
      <w:r>
        <w:rPr>
          <w:rFonts w:ascii="Times New Roman" w:hAnsi="Times New Roman"/>
          <w:b w:val="0"/>
          <w:i w:val="0"/>
          <w:sz w:val="16"/>
        </w:rPr>
        <w:t>Test-set accuracy (95% bootstrap CI)</w:t>
      </w:r>
    </w:p>
    <w:tbl>
      <w:tblPr>
        <w:tblW w:type="auto" w:w="0"/>
        <w:jc w:val="center"/>
        <w:tblLook w:firstColumn="1" w:firstRow="1" w:lastColumn="0" w:lastRow="0" w:noHBand="0" w:noVBand="1" w:val="04A0"/>
      </w:tblPr>
      <w:tblGrid>
        <w:gridCol w:w="3437"/>
        <w:gridCol w:w="3437"/>
        <w:gridCol w:w="3437"/>
      </w:tblGrid>
      <w:tr>
        <w:tc>
          <w:tcPr>
            <w:tcW w:type="dxa" w:w="3437"/>
            <w:tcBorders>
              <w:top w:val="single" w:sz="8"/>
              <w:bottom w:val="nil" w:sz="0"/>
              <w:left w:val="nil"/>
              <w:right w:val="nil"/>
            </w:tcBorders>
          </w:tcPr>
          <w:p>
            <w:pPr>
              <w:spacing w:before="20" w:after="20"/>
              <w:jc w:val="left"/>
            </w:pPr>
            <w:r>
              <w:rPr>
                <w:rFonts w:ascii="Times New Roman" w:hAnsi="Times New Roman"/>
                <w:b/>
                <w:i w:val="0"/>
                <w:sz w:val="16"/>
              </w:rPr>
              <w:t>Metric</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Raw</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Bias-corrected</w:t>
            </w:r>
          </w:p>
        </w:tc>
      </w:tr>
      <w:tr>
        <w:tc>
          <w:tcPr>
            <w:tcW w:type="dxa" w:w="3437"/>
            <w:tcBorders>
              <w:top w:val="single" w:sz="8"/>
              <w:bottom w:val="nil" w:sz="0"/>
              <w:left w:val="nil"/>
              <w:right w:val="nil"/>
            </w:tcBorders>
          </w:tcPr>
          <w:p>
            <w:pPr>
              <w:spacing w:before="20" w:after="20"/>
              <w:jc w:val="left"/>
            </w:pPr>
            <w:r>
              <w:rPr>
                <w:rFonts w:ascii="Times New Roman" w:hAnsi="Times New Roman"/>
                <w:b w:val="0"/>
                <w:i w:val="0"/>
                <w:sz w:val="16"/>
              </w:rPr>
              <w:t>MAE (years)</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3.71</w:t>
            </w:r>
            <w:r>
              <w:rPr>
                <w:rFonts w:ascii="Times New Roman" w:hAnsi="Times New Roman"/>
                <w:b w:val="0"/>
                <w:i w:val="0"/>
                <w:sz w:val="16"/>
              </w:rPr>
              <w:t xml:space="preserve"> [3.10, 4.38]</w:t>
            </w:r>
          </w:p>
        </w:tc>
        <w:tc>
          <w:tcPr>
            <w:tcW w:type="dxa" w:w="3437"/>
            <w:tcBorders>
              <w:top w:val="single" w:sz="8"/>
              <w:bottom w:val="nil" w:sz="0"/>
              <w:left w:val="nil"/>
              <w:right w:val="nil"/>
            </w:tcBorders>
          </w:tcPr>
          <w:p>
            <w:pPr>
              <w:spacing w:before="20" w:after="20"/>
              <w:jc w:val="center"/>
            </w:pPr>
            <w:r>
              <w:rPr>
                <w:rFonts w:ascii="Times New Roman" w:hAnsi="Times New Roman"/>
                <w:b w:val="0"/>
                <w:i w:val="0"/>
                <w:sz w:val="16"/>
              </w:rPr>
              <w:t>3.89 [3.20, 4.61]</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RMSE (years)</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4.66 [3.93, 5.40]</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4.97</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 xml:space="preserve">Pearson </w:t>
            </w:r>
            <w:r>
              <w:rPr>
                <w:rFonts w:ascii="Times New Roman" w:hAnsi="Times New Roman"/>
                <w:b w:val="0"/>
                <w:i w:val="0"/>
                <w:sz w:val="16"/>
              </w:rPr>
              <w:t>r</w:t>
            </w:r>
          </w:p>
        </w:tc>
        <w:tc>
          <w:tcPr>
            <w:tcW w:type="dxa" w:w="3437"/>
            <w:tcBorders>
              <w:top w:val="nil" w:sz="0"/>
              <w:bottom w:val="nil" w:sz="0"/>
              <w:left w:val="nil"/>
              <w:right w:val="nil"/>
            </w:tcBorders>
          </w:tcPr>
          <w:p>
            <w:pPr>
              <w:spacing w:before="20" w:after="20"/>
              <w:jc w:val="center"/>
            </w:pPr>
            <w:r>
              <w:rPr>
                <w:rFonts w:ascii="Times New Roman" w:hAnsi="Times New Roman"/>
                <w:b/>
                <w:i w:val="0"/>
                <w:sz w:val="16"/>
              </w:rPr>
              <w:t>0.966</w:t>
            </w:r>
            <w:r>
              <w:rPr>
                <w:rFonts w:ascii="Times New Roman" w:hAnsi="Times New Roman"/>
                <w:b w:val="0"/>
                <w:i w:val="0"/>
                <w:sz w:val="16"/>
              </w:rPr>
              <w:t xml:space="preserve"> [0.952, 0.978]</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0.966</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r</w:t>
            </w:r>
            <w:r>
              <w:rPr>
                <w:rFonts w:ascii="Times New Roman" w:hAnsi="Times New Roman"/>
                <w:b w:val="0"/>
                <w:i w:val="0"/>
                <w:sz w:val="16"/>
              </w:rPr>
              <w:t>(age, BAG)</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−0.49</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+0.17</w:t>
            </w:r>
          </w:p>
        </w:tc>
      </w:tr>
      <w:tr>
        <w:tc>
          <w:tcPr>
            <w:tcW w:type="dxa" w:w="3437"/>
            <w:tcBorders>
              <w:top w:val="single" w:sz="8"/>
              <w:bottom w:val="single" w:sz="8"/>
              <w:left w:val="nil"/>
              <w:right w:val="nil"/>
            </w:tcBorders>
          </w:tcPr>
          <w:p>
            <w:pPr>
              <w:spacing w:before="20" w:after="20"/>
              <w:jc w:val="left"/>
            </w:pPr>
            <w:r>
              <w:rPr>
                <w:rFonts w:ascii="Times New Roman" w:hAnsi="Times New Roman"/>
                <w:b w:val="0"/>
                <w:i w:val="0"/>
                <w:sz w:val="16"/>
              </w:rPr>
              <w:t>Zero-shot SFCN, val. MAE</w:t>
            </w:r>
          </w:p>
        </w:tc>
        <w:tc>
          <w:tcPr>
            <w:tcW w:type="dxa" w:w="3437"/>
            <w:tcBorders>
              <w:top w:val="single" w:sz="8"/>
              <w:bottom w:val="single" w:sz="8"/>
              <w:left w:val="nil"/>
              <w:right w:val="nil"/>
            </w:tcBorders>
          </w:tcPr>
          <w:p>
            <w:pPr>
              <w:spacing w:before="20" w:after="20"/>
              <w:jc w:val="center"/>
            </w:pPr>
            <w:r>
              <w:rPr>
                <w:rFonts w:ascii="Times New Roman" w:hAnsi="Times New Roman"/>
                <w:b w:val="0"/>
                <w:i w:val="0"/>
                <w:sz w:val="16"/>
              </w:rPr>
              <w:t>10.21</w:t>
            </w:r>
          </w:p>
        </w:tc>
        <w:tc>
          <w:tcPr>
            <w:tcW w:type="dxa" w:w="3437"/>
            <w:tcBorders>
              <w:top w:val="single" w:sz="8"/>
              <w:bottom w:val="single" w:sz="8"/>
              <w:left w:val="nil"/>
              <w:right w:val="nil"/>
            </w:tcBorders>
          </w:tcPr>
          <w:p>
            <w:pPr>
              <w:spacing w:before="20" w:after="20"/>
              <w:jc w:val="center"/>
            </w:pPr>
            <w:r>
              <w:rPr>
                <w:rFonts w:ascii="Times New Roman" w:hAnsi="Times New Roman"/>
                <w:b w:val="0"/>
                <w:i w:val="0"/>
                <w:sz w:val="16"/>
              </w:rPr>
              <w:t>–</w:t>
            </w:r>
          </w:p>
        </w:tc>
      </w:tr>
    </w:tbl>
    <w:p>
      <w:pPr>
        <w:keepNext w:val="0"/>
        <w:spacing w:before="0" w:after="0" w:line="240" w:lineRule="auto"/>
        <w:ind w:firstLine="245"/>
        <w:jc w:val="both"/>
      </w:pPr>
    </w:p>
    <w:p>
      <w:pPr>
        <w:keepNext/>
        <w:jc w:val="center"/>
      </w:pPr>
      <w:r>
        <w:drawing>
          <wp:inline xmlns:a="http://schemas.openxmlformats.org/drawingml/2006/main" xmlns:pic="http://schemas.openxmlformats.org/drawingml/2006/picture">
            <wp:extent cx="3200400" cy="1536192"/>
            <wp:docPr id="2" name="Picture 2"/>
            <wp:cNvGraphicFramePr>
              <a:graphicFrameLocks noChangeAspect="1"/>
            </wp:cNvGraphicFramePr>
            <a:graphic>
              <a:graphicData uri="http://schemas.openxmlformats.org/drawingml/2006/picture">
                <pic:pic>
                  <pic:nvPicPr>
                    <pic:cNvPr id="0" name="test_scatter.png"/>
                    <pic:cNvPicPr/>
                  </pic:nvPicPr>
                  <pic:blipFill>
                    <a:blip r:embed="rId10"/>
                    <a:stretch>
                      <a:fillRect/>
                    </a:stretch>
                  </pic:blipFill>
                  <pic:spPr>
                    <a:xfrm>
                      <a:off x="0" y="0"/>
                      <a:ext cx="3200400" cy="1536192"/>
                    </a:xfrm>
                    <a:prstGeom prst="rect"/>
                  </pic:spPr>
                </pic:pic>
              </a:graphicData>
            </a:graphic>
          </wp:inline>
        </w:drawing>
      </w:r>
    </w:p>
    <w:p>
      <w:pPr>
        <w:keepNext w:val="0"/>
        <w:spacing w:before="0" w:after="160" w:line="240" w:lineRule="auto"/>
        <w:jc w:val="both"/>
      </w:pPr>
      <w:r>
        <w:rPr>
          <w:rFonts w:ascii="Times New Roman" w:hAnsi="Times New Roman"/>
          <w:b w:val="0"/>
          <w:i w:val="0"/>
          <w:sz w:val="16"/>
        </w:rPr>
        <w:t xml:space="preserve">Fig. 2.  </w:t>
      </w:r>
      <w:r>
        <w:rPr>
          <w:rFonts w:ascii="Times New Roman" w:hAnsi="Times New Roman"/>
          <w:b w:val="0"/>
          <w:i w:val="0"/>
          <w:sz w:val="16"/>
        </w:rPr>
        <w:t>Fine-tuned SFCN on the test set, raw (left) and bias-corrected (right), coloured by acquisition site.</w:t>
      </w:r>
    </w:p>
    <w:p>
      <w:pPr>
        <w:keepNext/>
        <w:spacing w:before="80" w:after="40" w:line="240" w:lineRule="auto"/>
        <w:jc w:val="left"/>
      </w:pPr>
      <w:r>
        <w:rPr>
          <w:rFonts w:ascii="Times New Roman" w:hAnsi="Times New Roman"/>
          <w:b w:val="0"/>
          <w:i/>
          <w:sz w:val="20"/>
        </w:rPr>
        <w:t>B. Group fairness: sex and acquisition site</w:t>
      </w:r>
    </w:p>
    <w:p>
      <w:pPr>
        <w:keepNext w:val="0"/>
        <w:spacing w:before="0" w:after="40" w:line="240" w:lineRule="auto"/>
        <w:ind w:firstLine="245"/>
        <w:jc w:val="both"/>
      </w:pPr>
      <w:r>
        <w:rPr>
          <w:rFonts w:ascii="Times New Roman" w:hAnsi="Times New Roman"/>
          <w:b w:val="0"/>
          <w:i w:val="0"/>
          <w:sz w:val="20"/>
        </w:rPr>
        <w:t xml:space="preserve">Table </w:t>
      </w:r>
      <w:r>
        <w:rPr>
          <w:rFonts w:ascii="Times New Roman" w:hAnsi="Times New Roman"/>
          <w:b w:val="0"/>
          <w:i w:val="0"/>
          <w:sz w:val="20"/>
        </w:rPr>
        <w:t>III</w:t>
      </w:r>
      <w:r>
        <w:rPr>
          <w:rFonts w:ascii="Times New Roman" w:hAnsi="Times New Roman"/>
          <w:b w:val="0"/>
          <w:i w:val="0"/>
          <w:sz w:val="20"/>
        </w:rPr>
        <w:t xml:space="preserve"> and Fig. </w:t>
      </w:r>
      <w:r>
        <w:rPr>
          <w:rFonts w:ascii="Times New Roman" w:hAnsi="Times New Roman"/>
          <w:b w:val="0"/>
          <w:i w:val="0"/>
          <w:sz w:val="20"/>
        </w:rPr>
        <w:t>3</w:t>
      </w:r>
      <w:r>
        <w:rPr>
          <w:rFonts w:ascii="Times New Roman" w:hAnsi="Times New Roman"/>
          <w:b w:val="0"/>
          <w:i w:val="0"/>
          <w:sz w:val="20"/>
        </w:rPr>
        <w:t xml:space="preserve"> show the age-adjusted test-set differences. There is </w:t>
      </w:r>
      <w:r>
        <w:rPr>
          <w:rFonts w:ascii="Times New Roman" w:hAnsi="Times New Roman"/>
          <w:b/>
          <w:i w:val="0"/>
          <w:sz w:val="20"/>
        </w:rPr>
        <w:t>no detectable sex difference</w:t>
      </w:r>
      <w:r>
        <w:rPr>
          <w:rFonts w:ascii="Times New Roman" w:hAnsi="Times New Roman"/>
          <w:b w:val="0"/>
          <w:i w:val="0"/>
          <w:sz w:val="20"/>
        </w:rPr>
        <w:t xml:space="preserve"> in BAG or error, with intervals narrow enough to exclude differences larger than about 2–3 years. In contrast, IOP scans receive a corrected BAG </w:t>
      </w:r>
      <w:r>
        <w:rPr>
          <w:rFonts w:ascii="Times New Roman" w:hAnsi="Times New Roman"/>
          <w:b/>
          <w:i w:val="0"/>
          <w:sz w:val="20"/>
        </w:rPr>
        <w:t>5.06 years lower</w:t>
      </w:r>
      <w:r>
        <w:rPr>
          <w:rFonts w:ascii="Times New Roman" w:hAnsi="Times New Roman"/>
          <w:b w:val="0"/>
          <w:i w:val="0"/>
          <w:sz w:val="20"/>
        </w:rPr>
        <w:t xml:space="preserve"> than Guys scans (</w:t>
      </w:r>
      <w:r>
        <w:rPr>
          <w:rFonts w:ascii="Times New Roman" w:hAnsi="Times New Roman"/>
          <w:b w:val="0"/>
          <w:i w:val="0"/>
          <w:sz w:val="20"/>
        </w:rPr>
        <w:t>p=0.012</w:t>
      </w:r>
      <w:r>
        <w:rPr>
          <w:rFonts w:ascii="Times New Roman" w:hAnsi="Times New Roman"/>
          <w:b w:val="0"/>
          <w:i w:val="0"/>
          <w:sz w:val="20"/>
        </w:rPr>
        <w:t xml:space="preserve">); 8 of the 9 IOP test subjects have a negative gap, and leaving out each IOP subject in turn gives offsets between </w:t>
      </w:r>
      <w:r>
        <w:rPr>
          <w:rFonts w:ascii="Times New Roman" w:hAnsi="Times New Roman"/>
          <w:b w:val="0"/>
          <w:i w:val="0"/>
          <w:sz w:val="20"/>
        </w:rPr>
        <w:t>−4.18</w:t>
      </w:r>
      <w:r>
        <w:rPr>
          <w:rFonts w:ascii="Times New Roman" w:hAnsi="Times New Roman"/>
          <w:b w:val="0"/>
          <w:i w:val="0"/>
          <w:sz w:val="20"/>
        </w:rPr>
        <w:t xml:space="preserve"> and </w:t>
      </w:r>
      <w:r>
        <w:rPr>
          <w:rFonts w:ascii="Times New Roman" w:hAnsi="Times New Roman"/>
          <w:b w:val="0"/>
          <w:i w:val="0"/>
          <w:sz w:val="20"/>
        </w:rPr>
        <w:t>−5.93</w:t>
      </w:r>
      <w:r>
        <w:rPr>
          <w:rFonts w:ascii="Times New Roman" w:hAnsi="Times New Roman"/>
          <w:b w:val="0"/>
          <w:i w:val="0"/>
          <w:sz w:val="20"/>
        </w:rPr>
        <w:t>. No group difference in absolute error has a CI excluding zero.</w:t>
      </w:r>
    </w:p>
    <w:p>
      <w:pPr>
        <w:keepNext w:val="0"/>
        <w:spacing w:before="0" w:after="40" w:line="240" w:lineRule="auto"/>
        <w:ind w:firstLine="245"/>
        <w:jc w:val="both"/>
      </w:pPr>
      <w:r>
        <w:rPr>
          <w:rFonts w:ascii="Times New Roman" w:hAnsi="Times New Roman"/>
          <w:b w:val="0"/>
          <w:i w:val="0"/>
          <w:sz w:val="20"/>
        </w:rPr>
        <w:t>The IOP offset is absent in the training subjects, which the model fits closely (</w:t>
      </w:r>
      <w:r>
        <w:rPr>
          <w:rFonts w:ascii="Times New Roman" w:hAnsi="Times New Roman"/>
          <w:b w:val="0"/>
          <w:i w:val="0"/>
          <w:sz w:val="20"/>
        </w:rPr>
        <w:t>−0.97</w:t>
      </w:r>
      <w:r>
        <w:rPr>
          <w:rFonts w:ascii="Times New Roman" w:hAnsi="Times New Roman"/>
          <w:b w:val="0"/>
          <w:i w:val="0"/>
          <w:sz w:val="20"/>
        </w:rPr>
        <w:t xml:space="preserve"> [−3.09, +1.15]), and appears independently in validation (</w:t>
      </w:r>
      <w:r>
        <w:rPr>
          <w:rFonts w:ascii="Times New Roman" w:hAnsi="Times New Roman"/>
          <w:b w:val="0"/>
          <w:i w:val="0"/>
          <w:sz w:val="20"/>
        </w:rPr>
        <w:t>−4.08</w:t>
      </w:r>
      <w:r>
        <w:rPr>
          <w:rFonts w:ascii="Times New Roman" w:hAnsi="Times New Roman"/>
          <w:b w:val="0"/>
          <w:i w:val="0"/>
          <w:sz w:val="20"/>
        </w:rPr>
        <w:t xml:space="preserve"> [−7.31, −0.85]) and test (</w:t>
      </w:r>
      <w:r>
        <w:rPr>
          <w:rFonts w:ascii="Times New Roman" w:hAnsi="Times New Roman"/>
          <w:b w:val="0"/>
          <w:i w:val="0"/>
          <w:sz w:val="20"/>
        </w:rPr>
        <w:t>−5.06</w:t>
      </w:r>
      <w:r>
        <w:rPr>
          <w:rFonts w:ascii="Times New Roman" w:hAnsi="Times New Roman"/>
          <w:b w:val="0"/>
          <w:i w:val="0"/>
          <w:sz w:val="20"/>
        </w:rPr>
        <w:t xml:space="preserve">): it is a failure to generalise to </w:t>
      </w:r>
      <w:r>
        <w:rPr>
          <w:rFonts w:ascii="Times New Roman" w:hAnsi="Times New Roman"/>
          <w:b w:val="0"/>
          <w:i/>
          <w:sz w:val="20"/>
        </w:rPr>
        <w:t>new</w:t>
      </w:r>
      <w:r>
        <w:rPr>
          <w:rFonts w:ascii="Times New Roman" w:hAnsi="Times New Roman"/>
          <w:b w:val="0"/>
          <w:i w:val="0"/>
          <w:sz w:val="20"/>
        </w:rPr>
        <w:t xml:space="preserve"> IOP individuals, not a chance finding in one split. LOSO confirms this: a model never trained on IOP is </w:t>
      </w:r>
      <w:r>
        <w:rPr>
          <w:rFonts w:ascii="Times New Roman" w:hAnsi="Times New Roman"/>
          <w:b/>
          <w:i w:val="0"/>
          <w:sz w:val="20"/>
        </w:rPr>
        <w:t>3.30 years</w:t>
      </w:r>
      <w:r>
        <w:rPr>
          <w:rFonts w:ascii="Times New Roman" w:hAnsi="Times New Roman"/>
          <w:b w:val="0"/>
          <w:i w:val="0"/>
          <w:sz w:val="20"/>
        </w:rPr>
        <w:t xml:space="preserve"> [1.62, 4.93] less accurate there (MAE 6.80 vs 3.59), whereas a model never trained on HH generalises (+0.25 [−0.88, 1.36]).</w:t>
      </w:r>
    </w:p>
    <w:p>
      <w:pPr>
        <w:keepNext/>
        <w:spacing w:before="120" w:after="0" w:line="240" w:lineRule="auto"/>
        <w:jc w:val="center"/>
      </w:pPr>
      <w:r>
        <w:rPr>
          <w:rFonts w:ascii="Times New Roman" w:hAnsi="Times New Roman"/>
          <w:b w:val="0"/>
          <w:i w:val="0"/>
          <w:sz w:val="16"/>
        </w:rPr>
        <w:t>TABLE III</w:t>
      </w:r>
    </w:p>
    <w:p>
      <w:pPr>
        <w:keepNext/>
        <w:spacing w:before="0" w:after="60" w:line="240" w:lineRule="auto"/>
        <w:jc w:val="center"/>
      </w:pPr>
      <w:r>
        <w:rPr>
          <w:rFonts w:ascii="Times New Roman" w:hAnsi="Times New Roman"/>
          <w:b w:val="0"/>
          <w:i w:val="0"/>
          <w:sz w:val="16"/>
        </w:rPr>
        <w:t>Age-adjusted group differences, test set (95% CI)</w:t>
      </w:r>
    </w:p>
    <w:tbl>
      <w:tblPr>
        <w:tblW w:type="auto" w:w="0"/>
        <w:jc w:val="center"/>
        <w:tblLook w:firstColumn="1" w:firstRow="1" w:lastColumn="0" w:lastRow="0" w:noHBand="0" w:noVBand="1" w:val="04A0"/>
      </w:tblPr>
      <w:tblGrid>
        <w:gridCol w:w="3437"/>
        <w:gridCol w:w="3437"/>
        <w:gridCol w:w="3437"/>
      </w:tblGrid>
      <w:tr>
        <w:tc>
          <w:tcPr>
            <w:tcW w:type="dxa" w:w="3437"/>
            <w:tcBorders>
              <w:top w:val="single" w:sz="8"/>
              <w:bottom w:val="nil" w:sz="0"/>
              <w:left w:val="nil"/>
              <w:right w:val="nil"/>
            </w:tcBorders>
          </w:tcPr>
          <w:p>
            <w:pPr>
              <w:spacing w:before="20" w:after="20"/>
              <w:jc w:val="left"/>
            </w:pPr>
            <w:r>
              <w:rPr>
                <w:rFonts w:ascii="Times New Roman" w:hAnsi="Times New Roman"/>
                <w:b/>
                <w:i w:val="0"/>
                <w:sz w:val="16"/>
              </w:rPr>
              <w:t>Comparison</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Corrected BAG (yrs)</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w:t>
            </w:r>
            <w:r>
              <w:rPr>
                <w:rFonts w:ascii="Times New Roman" w:hAnsi="Times New Roman"/>
                <w:b/>
                <w:i w:val="0"/>
                <w:sz w:val="16"/>
              </w:rPr>
              <w:t>Error</w:t>
            </w:r>
            <w:r>
              <w:rPr>
                <w:rFonts w:ascii="Times New Roman" w:hAnsi="Times New Roman"/>
                <w:b/>
                <w:i w:val="0"/>
                <w:sz w:val="16"/>
              </w:rPr>
              <w:t>|</w:t>
            </w:r>
            <w:r>
              <w:rPr>
                <w:rFonts w:ascii="Times New Roman" w:hAnsi="Times New Roman"/>
                <w:b/>
                <w:i w:val="0"/>
                <w:sz w:val="16"/>
              </w:rPr>
              <w:t xml:space="preserve"> (yrs)</w:t>
            </w:r>
          </w:p>
        </w:tc>
      </w:tr>
      <w:tr>
        <w:tc>
          <w:tcPr>
            <w:tcW w:type="dxa" w:w="3437"/>
            <w:tcBorders>
              <w:top w:val="single" w:sz="8"/>
              <w:bottom w:val="nil" w:sz="0"/>
              <w:left w:val="nil"/>
              <w:right w:val="nil"/>
            </w:tcBorders>
          </w:tcPr>
          <w:p>
            <w:pPr>
              <w:spacing w:before="20" w:after="20"/>
              <w:jc w:val="left"/>
            </w:pPr>
            <w:r>
              <w:rPr>
                <w:rFonts w:ascii="Times New Roman" w:hAnsi="Times New Roman"/>
                <w:b w:val="0"/>
                <w:i w:val="0"/>
                <w:sz w:val="16"/>
              </w:rPr>
              <w:t>Male vs female</w:t>
            </w:r>
          </w:p>
        </w:tc>
        <w:tc>
          <w:tcPr>
            <w:tcW w:type="dxa" w:w="3437"/>
            <w:tcBorders>
              <w:top w:val="single" w:sz="8"/>
              <w:bottom w:val="nil" w:sz="0"/>
              <w:left w:val="nil"/>
              <w:right w:val="nil"/>
            </w:tcBorders>
          </w:tcPr>
          <w:p>
            <w:pPr>
              <w:spacing w:before="20" w:after="20"/>
              <w:jc w:val="center"/>
            </w:pPr>
            <w:r>
              <w:rPr>
                <w:rFonts w:ascii="Times New Roman" w:hAnsi="Times New Roman"/>
                <w:b w:val="0"/>
                <w:i w:val="0"/>
                <w:sz w:val="16"/>
              </w:rPr>
              <w:t>−0.59</w:t>
            </w:r>
            <w:r>
              <w:rPr>
                <w:rFonts w:ascii="Times New Roman" w:hAnsi="Times New Roman"/>
                <w:b w:val="0"/>
                <w:i w:val="0"/>
                <w:sz w:val="16"/>
              </w:rPr>
              <w:t xml:space="preserve"> [−2.67, +1.64]</w:t>
            </w:r>
          </w:p>
        </w:tc>
        <w:tc>
          <w:tcPr>
            <w:tcW w:type="dxa" w:w="3437"/>
            <w:tcBorders>
              <w:top w:val="single" w:sz="8"/>
              <w:bottom w:val="nil" w:sz="0"/>
              <w:left w:val="nil"/>
              <w:right w:val="nil"/>
            </w:tcBorders>
          </w:tcPr>
          <w:p>
            <w:pPr>
              <w:spacing w:before="20" w:after="20"/>
              <w:jc w:val="center"/>
            </w:pPr>
            <w:r>
              <w:rPr>
                <w:rFonts w:ascii="Times New Roman" w:hAnsi="Times New Roman"/>
                <w:b w:val="0"/>
                <w:i w:val="0"/>
                <w:sz w:val="16"/>
              </w:rPr>
              <w:t>−0.64</w:t>
            </w:r>
            <w:r>
              <w:rPr>
                <w:rFonts w:ascii="Times New Roman" w:hAnsi="Times New Roman"/>
                <w:b w:val="0"/>
                <w:i w:val="0"/>
                <w:sz w:val="16"/>
              </w:rPr>
              <w:t xml:space="preserve"> [−1.90, +0.59]</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HH vs Guys</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+1.06</w:t>
            </w:r>
            <w:r>
              <w:rPr>
                <w:rFonts w:ascii="Times New Roman" w:hAnsi="Times New Roman"/>
                <w:b w:val="0"/>
                <w:i w:val="0"/>
                <w:sz w:val="16"/>
              </w:rPr>
              <w:t xml:space="preserve"> [−1.44, +3.53]</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+0.19</w:t>
            </w:r>
            <w:r>
              <w:rPr>
                <w:rFonts w:ascii="Times New Roman" w:hAnsi="Times New Roman"/>
                <w:b w:val="0"/>
                <w:i w:val="0"/>
                <w:sz w:val="16"/>
              </w:rPr>
              <w:t xml:space="preserve"> [−1.07, +1.47]</w:t>
            </w:r>
          </w:p>
        </w:tc>
      </w:tr>
      <w:tr>
        <w:tc>
          <w:tcPr>
            <w:tcW w:type="dxa" w:w="3437"/>
            <w:tcBorders>
              <w:top w:val="nil" w:sz="0"/>
              <w:bottom w:val="single" w:sz="8"/>
              <w:left w:val="nil"/>
              <w:right w:val="nil"/>
            </w:tcBorders>
          </w:tcPr>
          <w:p>
            <w:pPr>
              <w:spacing w:before="20" w:after="20"/>
              <w:jc w:val="left"/>
            </w:pPr>
            <w:r>
              <w:rPr>
                <w:rFonts w:ascii="Times New Roman" w:hAnsi="Times New Roman"/>
                <w:b w:val="0"/>
                <w:i w:val="0"/>
                <w:sz w:val="16"/>
              </w:rPr>
              <w:t>IOP vs Guys</w:t>
            </w:r>
          </w:p>
        </w:tc>
        <w:tc>
          <w:tcPr>
            <w:tcW w:type="dxa" w:w="3437"/>
            <w:tcBorders>
              <w:top w:val="nil" w:sz="0"/>
              <w:bottom w:val="single" w:sz="8"/>
              <w:left w:val="nil"/>
              <w:right w:val="nil"/>
            </w:tcBorders>
          </w:tcPr>
          <w:p>
            <w:pPr>
              <w:spacing w:before="20" w:after="20"/>
              <w:jc w:val="center"/>
            </w:pPr>
            <w:r>
              <w:rPr>
                <w:rFonts w:ascii="Times New Roman" w:hAnsi="Times New Roman"/>
                <w:b/>
                <w:i w:val="0"/>
                <w:sz w:val="16"/>
              </w:rPr>
              <w:t>−5.06</w:t>
            </w:r>
            <w:r>
              <w:rPr>
                <w:rFonts w:ascii="Times New Roman" w:hAnsi="Times New Roman"/>
                <w:b w:val="0"/>
                <w:i w:val="0"/>
                <w:sz w:val="16"/>
              </w:rPr>
              <w:t xml:space="preserve"> [−8.66, −1.34]</w:t>
            </w:r>
          </w:p>
        </w:tc>
        <w:tc>
          <w:tcPr>
            <w:tcW w:type="dxa" w:w="3437"/>
            <w:tcBorders>
              <w:top w:val="nil" w:sz="0"/>
              <w:bottom w:val="single" w:sz="8"/>
              <w:left w:val="nil"/>
              <w:right w:val="nil"/>
            </w:tcBorders>
          </w:tcPr>
          <w:p>
            <w:pPr>
              <w:spacing w:before="20" w:after="20"/>
              <w:jc w:val="center"/>
            </w:pPr>
            <w:r>
              <w:rPr>
                <w:rFonts w:ascii="Times New Roman" w:hAnsi="Times New Roman"/>
                <w:b w:val="0"/>
                <w:i w:val="0"/>
                <w:sz w:val="16"/>
              </w:rPr>
              <w:t>+1.92</w:t>
            </w:r>
            <w:r>
              <w:rPr>
                <w:rFonts w:ascii="Times New Roman" w:hAnsi="Times New Roman"/>
                <w:b w:val="0"/>
                <w:i w:val="0"/>
                <w:sz w:val="16"/>
              </w:rPr>
              <w:t xml:space="preserve"> [−1.36, +5.14]</w:t>
            </w:r>
          </w:p>
        </w:tc>
      </w:tr>
    </w:tbl>
    <w:p>
      <w:pPr>
        <w:keepNext w:val="0"/>
        <w:spacing w:before="0" w:after="0" w:line="240" w:lineRule="auto"/>
        <w:ind w:firstLine="245"/>
        <w:jc w:val="both"/>
      </w:pPr>
    </w:p>
    <w:p>
      <w:pPr>
        <w:keepNext/>
        <w:jc w:val="center"/>
      </w:pPr>
      <w:r>
        <w:drawing>
          <wp:inline xmlns:a="http://schemas.openxmlformats.org/drawingml/2006/main" xmlns:pic="http://schemas.openxmlformats.org/drawingml/2006/picture">
            <wp:extent cx="3200400" cy="1221971"/>
            <wp:docPr id="3" name="Picture 3"/>
            <wp:cNvGraphicFramePr>
              <a:graphicFrameLocks noChangeAspect="1"/>
            </wp:cNvGraphicFramePr>
            <a:graphic>
              <a:graphicData uri="http://schemas.openxmlformats.org/drawingml/2006/picture">
                <pic:pic>
                  <pic:nvPicPr>
                    <pic:cNvPr id="0" name="fairness_effects.png"/>
                    <pic:cNvPicPr/>
                  </pic:nvPicPr>
                  <pic:blipFill>
                    <a:blip r:embed="rId11"/>
                    <a:stretch>
                      <a:fillRect/>
                    </a:stretch>
                  </pic:blipFill>
                  <pic:spPr>
                    <a:xfrm>
                      <a:off x="0" y="0"/>
                      <a:ext cx="3200400" cy="1221971"/>
                    </a:xfrm>
                    <a:prstGeom prst="rect"/>
                  </pic:spPr>
                </pic:pic>
              </a:graphicData>
            </a:graphic>
          </wp:inline>
        </w:drawing>
      </w:r>
    </w:p>
    <w:p>
      <w:pPr>
        <w:keepNext w:val="0"/>
        <w:spacing w:before="0" w:after="160" w:line="240" w:lineRule="auto"/>
        <w:jc w:val="both"/>
      </w:pPr>
      <w:r>
        <w:rPr>
          <w:rFonts w:ascii="Times New Roman" w:hAnsi="Times New Roman"/>
          <w:b w:val="0"/>
          <w:i w:val="0"/>
          <w:sz w:val="16"/>
        </w:rPr>
        <w:t xml:space="preserve">Fig. 3.  </w:t>
      </w:r>
      <w:r>
        <w:rPr>
          <w:rFonts w:ascii="Times New Roman" w:hAnsi="Times New Roman"/>
          <w:b w:val="0"/>
          <w:i w:val="0"/>
          <w:sz w:val="16"/>
        </w:rPr>
        <w:t>Age-adjusted group differences in corrected BAG (left) and absolute error (right) on the test set, with 95% bootstrap CIs.</w:t>
      </w:r>
    </w:p>
    <w:p>
      <w:pPr>
        <w:keepNext/>
        <w:spacing w:before="80" w:after="40" w:line="240" w:lineRule="auto"/>
        <w:jc w:val="left"/>
      </w:pPr>
      <w:r>
        <w:rPr>
          <w:rFonts w:ascii="Times New Roman" w:hAnsi="Times New Roman"/>
          <w:b w:val="0"/>
          <w:i/>
          <w:sz w:val="20"/>
        </w:rPr>
        <w:t>C. Where does the model look, and can we trust it?</w:t>
      </w:r>
    </w:p>
    <w:p>
      <w:pPr>
        <w:keepNext w:val="0"/>
        <w:spacing w:before="0" w:after="40" w:line="240" w:lineRule="auto"/>
        <w:ind w:firstLine="245"/>
        <w:jc w:val="both"/>
      </w:pPr>
      <w:r>
        <w:rPr>
          <w:rFonts w:ascii="Times New Roman" w:hAnsi="Times New Roman"/>
          <w:b w:val="0"/>
          <w:i w:val="0"/>
          <w:sz w:val="20"/>
        </w:rPr>
        <w:t xml:space="preserve">Attribution concentrates on the deep grey matter around the lateral ventricles (thalamus, caudate, putamen), the periventricular white matter and the cerebellum (Fig. </w:t>
      </w:r>
      <w:r>
        <w:rPr>
          <w:rFonts w:ascii="Times New Roman" w:hAnsi="Times New Roman"/>
          <w:b w:val="0"/>
          <w:i w:val="0"/>
          <w:sz w:val="20"/>
        </w:rPr>
        <w:t>4</w:t>
      </w:r>
      <w:r>
        <w:rPr>
          <w:rFonts w:ascii="Times New Roman" w:hAnsi="Times New Roman"/>
          <w:b w:val="0"/>
          <w:i w:val="0"/>
          <w:sz w:val="20"/>
        </w:rPr>
        <w:t xml:space="preserve">), structures known to change with age. Re-initialising the top layers changes the maps almost completely (median Spearman </w:t>
      </w:r>
      <w:r>
        <w:rPr>
          <w:rFonts w:ascii="Times New Roman" w:hAnsi="Times New Roman"/>
          <w:b w:val="0"/>
          <w:i w:val="0"/>
          <w:sz w:val="20"/>
        </w:rPr>
        <w:t>ρ=0.13</w:t>
      </w:r>
      <w:r>
        <w:rPr>
          <w:rFonts w:ascii="Times New Roman" w:hAnsi="Times New Roman"/>
          <w:b w:val="0"/>
          <w:i w:val="0"/>
          <w:sz w:val="20"/>
        </w:rPr>
        <w:t xml:space="preserve">), so the maps depend on what the model learned. In the deletion test (Table </w:t>
      </w:r>
      <w:r>
        <w:rPr>
          <w:rFonts w:ascii="Times New Roman" w:hAnsi="Times New Roman"/>
          <w:b w:val="0"/>
          <w:i w:val="0"/>
          <w:sz w:val="20"/>
        </w:rPr>
        <w:t>IV</w:t>
      </w:r>
      <w:r>
        <w:rPr>
          <w:rFonts w:ascii="Times New Roman" w:hAnsi="Times New Roman"/>
          <w:b w:val="0"/>
          <w:i w:val="0"/>
          <w:sz w:val="20"/>
        </w:rPr>
        <w:t xml:space="preserve">), removing the top-ranked 5% of cells changes the prediction by 4.83 years, against 1.04 for random and 0.46 for bottom-ranked cells; top beats random by +3.79 years [3.03, 4.66] in 93% of subjects (Wilcoxon </w:t>
      </w:r>
      <w:r>
        <w:rPr>
          <w:rFonts w:ascii="Times New Roman" w:hAnsi="Times New Roman"/>
          <w:b w:val="0"/>
          <w:i w:val="0"/>
          <w:sz w:val="20"/>
        </w:rPr>
        <w:t>p=5×10⁻¹¹</w:t>
      </w:r>
      <w:r>
        <w:rPr>
          <w:rFonts w:ascii="Times New Roman" w:hAnsi="Times New Roman"/>
          <w:b w:val="0"/>
          <w:i w:val="0"/>
          <w:sz w:val="20"/>
        </w:rPr>
        <w:t>), and the ordering holds at every fraction.</w:t>
      </w:r>
    </w:p>
    <w:p>
      <w:pPr>
        <w:keepNext w:val="0"/>
        <w:spacing w:before="0" w:after="40" w:line="240" w:lineRule="auto"/>
        <w:ind w:firstLine="245"/>
        <w:jc w:val="both"/>
      </w:pPr>
      <w:r>
        <w:rPr>
          <w:rFonts w:ascii="Times New Roman" w:hAnsi="Times New Roman"/>
          <w:b w:val="0"/>
          <w:i w:val="0"/>
          <w:sz w:val="20"/>
        </w:rPr>
        <w:t>After FDR correction, no region differs by sex. Attribution patterns differ between acquisition sites: relative to Guys, HH and IOP place less attribution on deep grey matter (</w:t>
      </w:r>
      <w:r>
        <w:rPr>
          <w:rFonts w:ascii="Times New Roman" w:hAnsi="Times New Roman"/>
          <w:b w:val="0"/>
          <w:i w:val="0"/>
          <w:sz w:val="20"/>
        </w:rPr>
        <w:t>−1.14</w:t>
      </w:r>
      <w:r>
        <w:rPr>
          <w:rFonts w:ascii="Times New Roman" w:hAnsi="Times New Roman"/>
          <w:b w:val="0"/>
          <w:i w:val="0"/>
          <w:sz w:val="20"/>
        </w:rPr>
        <w:t xml:space="preserve"> and </w:t>
      </w:r>
      <w:r>
        <w:rPr>
          <w:rFonts w:ascii="Times New Roman" w:hAnsi="Times New Roman"/>
          <w:b w:val="0"/>
          <w:i w:val="0"/>
          <w:sz w:val="20"/>
        </w:rPr>
        <w:t>−1.29</w:t>
      </w:r>
      <w:r>
        <w:rPr>
          <w:rFonts w:ascii="Times New Roman" w:hAnsi="Times New Roman"/>
          <w:b w:val="0"/>
          <w:i w:val="0"/>
          <w:sz w:val="20"/>
        </w:rPr>
        <w:t xml:space="preserve"> percentage points) and more on the cerebellum and unlabelled tissue.</w:t>
      </w:r>
    </w:p>
    <w:p>
      <w:pPr>
        <w:keepNext/>
        <w:jc w:val="center"/>
      </w:pPr>
      <w:r>
        <w:drawing>
          <wp:inline xmlns:a="http://schemas.openxmlformats.org/drawingml/2006/main" xmlns:pic="http://schemas.openxmlformats.org/drawingml/2006/picture">
            <wp:extent cx="3200400" cy="1040938"/>
            <wp:docPr id="4" name="Picture 4"/>
            <wp:cNvGraphicFramePr>
              <a:graphicFrameLocks noChangeAspect="1"/>
            </wp:cNvGraphicFramePr>
            <a:graphic>
              <a:graphicData uri="http://schemas.openxmlformats.org/drawingml/2006/picture">
                <pic:pic>
                  <pic:nvPicPr>
                    <pic:cNvPr id="0" name="attribution_mean_map.png"/>
                    <pic:cNvPicPr/>
                  </pic:nvPicPr>
                  <pic:blipFill>
                    <a:blip r:embed="rId12"/>
                    <a:stretch>
                      <a:fillRect/>
                    </a:stretch>
                  </pic:blipFill>
                  <pic:spPr>
                    <a:xfrm>
                      <a:off x="0" y="0"/>
                      <a:ext cx="3200400" cy="1040938"/>
                    </a:xfrm>
                    <a:prstGeom prst="rect"/>
                  </pic:spPr>
                </pic:pic>
              </a:graphicData>
            </a:graphic>
          </wp:inline>
        </w:drawing>
      </w:r>
    </w:p>
    <w:p>
      <w:pPr>
        <w:keepNext/>
        <w:jc w:val="center"/>
      </w:pPr>
      <w:r>
        <w:drawing>
          <wp:inline xmlns:a="http://schemas.openxmlformats.org/drawingml/2006/main" xmlns:pic="http://schemas.openxmlformats.org/drawingml/2006/picture">
            <wp:extent cx="2624327" cy="1695719"/>
            <wp:docPr id="5" name="Picture 5"/>
            <wp:cNvGraphicFramePr>
              <a:graphicFrameLocks noChangeAspect="1"/>
            </wp:cNvGraphicFramePr>
            <a:graphic>
              <a:graphicData uri="http://schemas.openxmlformats.org/drawingml/2006/picture">
                <pic:pic>
                  <pic:nvPicPr>
                    <pic:cNvPr id="0" name="deletion_test.png"/>
                    <pic:cNvPicPr/>
                  </pic:nvPicPr>
                  <pic:blipFill>
                    <a:blip r:embed="rId13"/>
                    <a:stretch>
                      <a:fillRect/>
                    </a:stretch>
                  </pic:blipFill>
                  <pic:spPr>
                    <a:xfrm>
                      <a:off x="0" y="0"/>
                      <a:ext cx="2624327" cy="1695719"/>
                    </a:xfrm>
                    <a:prstGeom prst="rect"/>
                  </pic:spPr>
                </pic:pic>
              </a:graphicData>
            </a:graphic>
          </wp:inline>
        </w:drawing>
      </w:r>
    </w:p>
    <w:p>
      <w:pPr>
        <w:keepNext w:val="0"/>
        <w:spacing w:before="0" w:after="160" w:line="240" w:lineRule="auto"/>
        <w:jc w:val="both"/>
      </w:pPr>
      <w:r>
        <w:rPr>
          <w:rFonts w:ascii="Times New Roman" w:hAnsi="Times New Roman"/>
          <w:b w:val="0"/>
          <w:i w:val="0"/>
          <w:sz w:val="16"/>
        </w:rPr>
        <w:t xml:space="preserve">Fig. 4.  </w:t>
      </w:r>
      <w:r>
        <w:rPr>
          <w:rFonts w:ascii="Times New Roman" w:hAnsi="Times New Roman"/>
          <w:b w:val="0"/>
          <w:i w:val="0"/>
          <w:sz w:val="16"/>
        </w:rPr>
        <w:t xml:space="preserve">Top: mean attribution map over held-out subjects. Bottom: deletion test, </w:t>
      </w:r>
      <w:r>
        <w:rPr>
          <w:rFonts w:ascii="Times New Roman" w:hAnsi="Times New Roman"/>
          <w:b w:val="0"/>
          <w:i w:val="0"/>
          <w:sz w:val="16"/>
        </w:rPr>
        <w:t>|Δ</w:t>
      </w:r>
      <w:r>
        <w:rPr>
          <w:rFonts w:ascii="Times New Roman" w:hAnsi="Times New Roman"/>
          <w:b w:val="0"/>
          <w:i w:val="0"/>
          <w:sz w:val="16"/>
        </w:rPr>
        <w:t xml:space="preserve"> predicted age</w:t>
      </w:r>
      <w:r>
        <w:rPr>
          <w:rFonts w:ascii="Times New Roman" w:hAnsi="Times New Roman"/>
          <w:b w:val="0"/>
          <w:i w:val="0"/>
          <w:sz w:val="16"/>
        </w:rPr>
        <w:t>|</w:t>
      </w:r>
      <w:r>
        <w:rPr>
          <w:rFonts w:ascii="Times New Roman" w:hAnsi="Times New Roman"/>
          <w:b w:val="0"/>
          <w:i w:val="0"/>
          <w:sz w:val="16"/>
        </w:rPr>
        <w:t xml:space="preserve"> when top-, randomly- or bottom-ranked regions are smoothed away.</w:t>
      </w:r>
    </w:p>
    <w:p>
      <w:pPr>
        <w:keepNext/>
        <w:spacing w:before="120" w:after="0" w:line="240" w:lineRule="auto"/>
        <w:jc w:val="center"/>
      </w:pPr>
      <w:r>
        <w:rPr>
          <w:rFonts w:ascii="Times New Roman" w:hAnsi="Times New Roman"/>
          <w:b w:val="0"/>
          <w:i w:val="0"/>
          <w:sz w:val="16"/>
        </w:rPr>
        <w:t>TABLE IV</w:t>
      </w:r>
    </w:p>
    <w:p>
      <w:pPr>
        <w:keepNext/>
        <w:spacing w:before="0" w:after="60" w:line="240" w:lineRule="auto"/>
        <w:jc w:val="center"/>
      </w:pPr>
      <w:r>
        <w:rPr>
          <w:rFonts w:ascii="Times New Roman" w:hAnsi="Times New Roman"/>
          <w:b w:val="0"/>
          <w:i w:val="0"/>
          <w:sz w:val="16"/>
        </w:rPr>
        <w:t xml:space="preserve">Deletion test: </w:t>
      </w:r>
      <w:r>
        <w:rPr>
          <w:rFonts w:ascii="Times New Roman" w:hAnsi="Times New Roman"/>
          <w:b w:val="0"/>
          <w:i w:val="0"/>
          <w:sz w:val="16"/>
        </w:rPr>
        <w:t>|Δ</w:t>
      </w:r>
      <w:r>
        <w:rPr>
          <w:rFonts w:ascii="Times New Roman" w:hAnsi="Times New Roman"/>
          <w:b w:val="0"/>
          <w:i w:val="0"/>
          <w:sz w:val="16"/>
        </w:rPr>
        <w:t xml:space="preserve"> predicted age</w:t>
      </w:r>
      <w:r>
        <w:rPr>
          <w:rFonts w:ascii="Times New Roman" w:hAnsi="Times New Roman"/>
          <w:b w:val="0"/>
          <w:i w:val="0"/>
          <w:sz w:val="16"/>
        </w:rPr>
        <w:t>|</w:t>
      </w:r>
      <w:r>
        <w:rPr>
          <w:rFonts w:ascii="Times New Roman" w:hAnsi="Times New Roman"/>
          <w:b w:val="0"/>
          <w:i w:val="0"/>
          <w:sz w:val="16"/>
        </w:rPr>
        <w:t xml:space="preserve"> (years), 60 subjects</w:t>
      </w:r>
    </w:p>
    <w:tbl>
      <w:tblPr>
        <w:tblW w:type="auto" w:w="0"/>
        <w:jc w:val="center"/>
        <w:tblLook w:firstColumn="1" w:firstRow="1" w:lastColumn="0" w:lastRow="0" w:noHBand="0" w:noVBand="1" w:val="04A0"/>
      </w:tblPr>
      <w:tblGrid>
        <w:gridCol w:w="2577"/>
        <w:gridCol w:w="2577"/>
        <w:gridCol w:w="2577"/>
        <w:gridCol w:w="2577"/>
      </w:tblGrid>
      <w:tr>
        <w:tc>
          <w:tcPr>
            <w:tcW w:type="dxa" w:w="2577"/>
            <w:tcBorders>
              <w:top w:val="single" w:sz="8"/>
              <w:bottom w:val="nil" w:sz="0"/>
              <w:left w:val="nil"/>
              <w:right w:val="nil"/>
            </w:tcBorders>
          </w:tcPr>
          <w:p>
            <w:pPr>
              <w:spacing w:before="20" w:after="20"/>
              <w:jc w:val="left"/>
            </w:pPr>
            <w:r>
              <w:rPr>
                <w:rFonts w:ascii="Times New Roman" w:hAnsi="Times New Roman"/>
                <w:b/>
                <w:i w:val="0"/>
                <w:sz w:val="16"/>
              </w:rPr>
              <w:t>Fraction removed</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Top-ranked</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Random</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Bottom-ranked</w:t>
            </w:r>
          </w:p>
        </w:tc>
      </w:tr>
      <w:tr>
        <w:tc>
          <w:tcPr>
            <w:tcW w:type="dxa" w:w="2577"/>
            <w:tcBorders>
              <w:top w:val="single" w:sz="8"/>
              <w:bottom w:val="nil" w:sz="0"/>
              <w:left w:val="nil"/>
              <w:right w:val="nil"/>
            </w:tcBorders>
          </w:tcPr>
          <w:p>
            <w:pPr>
              <w:spacing w:before="20" w:after="20"/>
              <w:jc w:val="left"/>
            </w:pPr>
            <w:r>
              <w:rPr>
                <w:rFonts w:ascii="Times New Roman" w:hAnsi="Times New Roman"/>
                <w:b w:val="0"/>
                <w:i w:val="0"/>
                <w:sz w:val="16"/>
              </w:rPr>
              <w:t>5%</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4.83</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1.04</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0.46</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10%</w:t>
            </w:r>
          </w:p>
        </w:tc>
        <w:tc>
          <w:tcPr>
            <w:tcW w:type="dxa" w:w="2577"/>
            <w:tcBorders>
              <w:top w:val="nil" w:sz="0"/>
              <w:bottom w:val="nil" w:sz="0"/>
              <w:left w:val="nil"/>
              <w:right w:val="nil"/>
            </w:tcBorders>
          </w:tcPr>
          <w:p>
            <w:pPr>
              <w:spacing w:before="20" w:after="20"/>
              <w:jc w:val="center"/>
            </w:pPr>
            <w:r>
              <w:rPr>
                <w:rFonts w:ascii="Times New Roman" w:hAnsi="Times New Roman"/>
                <w:b/>
                <w:i w:val="0"/>
                <w:sz w:val="16"/>
              </w:rPr>
              <w:t>6.05</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1.89</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0.70</w:t>
            </w:r>
          </w:p>
        </w:tc>
      </w:tr>
      <w:tr>
        <w:tc>
          <w:tcPr>
            <w:tcW w:type="dxa" w:w="2577"/>
            <w:tcBorders>
              <w:top w:val="nil" w:sz="0"/>
              <w:bottom w:val="single" w:sz="8"/>
              <w:left w:val="nil"/>
              <w:right w:val="nil"/>
            </w:tcBorders>
          </w:tcPr>
          <w:p>
            <w:pPr>
              <w:spacing w:before="20" w:after="20"/>
              <w:jc w:val="left"/>
            </w:pPr>
            <w:r>
              <w:rPr>
                <w:rFonts w:ascii="Times New Roman" w:hAnsi="Times New Roman"/>
                <w:b w:val="0"/>
                <w:i w:val="0"/>
                <w:sz w:val="16"/>
              </w:rPr>
              <w:t>20%</w:t>
            </w:r>
          </w:p>
        </w:tc>
        <w:tc>
          <w:tcPr>
            <w:tcW w:type="dxa" w:w="2577"/>
            <w:tcBorders>
              <w:top w:val="nil" w:sz="0"/>
              <w:bottom w:val="single" w:sz="8"/>
              <w:left w:val="nil"/>
              <w:right w:val="nil"/>
            </w:tcBorders>
          </w:tcPr>
          <w:p>
            <w:pPr>
              <w:spacing w:before="20" w:after="20"/>
              <w:jc w:val="center"/>
            </w:pPr>
            <w:r>
              <w:rPr>
                <w:rFonts w:ascii="Times New Roman" w:hAnsi="Times New Roman"/>
                <w:b/>
                <w:i w:val="0"/>
                <w:sz w:val="16"/>
              </w:rPr>
              <w:t>8.71</w:t>
            </w:r>
          </w:p>
        </w:tc>
        <w:tc>
          <w:tcPr>
            <w:tcW w:type="dxa" w:w="2577"/>
            <w:tcBorders>
              <w:top w:val="nil" w:sz="0"/>
              <w:bottom w:val="single" w:sz="8"/>
              <w:left w:val="nil"/>
              <w:right w:val="nil"/>
            </w:tcBorders>
          </w:tcPr>
          <w:p>
            <w:pPr>
              <w:spacing w:before="20" w:after="20"/>
              <w:jc w:val="center"/>
            </w:pPr>
            <w:r>
              <w:rPr>
                <w:rFonts w:ascii="Times New Roman" w:hAnsi="Times New Roman"/>
                <w:b w:val="0"/>
                <w:i w:val="0"/>
                <w:sz w:val="16"/>
              </w:rPr>
              <w:t>4.17</w:t>
            </w:r>
          </w:p>
        </w:tc>
        <w:tc>
          <w:tcPr>
            <w:tcW w:type="dxa" w:w="2577"/>
            <w:tcBorders>
              <w:top w:val="nil" w:sz="0"/>
              <w:bottom w:val="single" w:sz="8"/>
              <w:left w:val="nil"/>
              <w:right w:val="nil"/>
            </w:tcBorders>
          </w:tcPr>
          <w:p>
            <w:pPr>
              <w:spacing w:before="20" w:after="20"/>
              <w:jc w:val="center"/>
            </w:pPr>
            <w:r>
              <w:rPr>
                <w:rFonts w:ascii="Times New Roman" w:hAnsi="Times New Roman"/>
                <w:b w:val="0"/>
                <w:i w:val="0"/>
                <w:sz w:val="16"/>
              </w:rPr>
              <w:t>1.21</w:t>
            </w:r>
          </w:p>
        </w:tc>
      </w:tr>
    </w:tbl>
    <w:p>
      <w:pPr>
        <w:keepNext w:val="0"/>
        <w:spacing w:before="0" w:after="0" w:line="240" w:lineRule="auto"/>
        <w:ind w:firstLine="245"/>
        <w:jc w:val="both"/>
      </w:pPr>
    </w:p>
    <w:p>
      <w:pPr>
        <w:keepNext/>
        <w:spacing w:before="80" w:after="40" w:line="240" w:lineRule="auto"/>
        <w:jc w:val="left"/>
      </w:pPr>
      <w:r>
        <w:rPr>
          <w:rFonts w:ascii="Times New Roman" w:hAnsi="Times New Roman"/>
          <w:b w:val="0"/>
          <w:i/>
          <w:sz w:val="20"/>
        </w:rPr>
        <w:t>D. Is the model right for the wrong reasons?</w:t>
      </w:r>
    </w:p>
    <w:p>
      <w:pPr>
        <w:keepNext w:val="0"/>
        <w:spacing w:before="0" w:after="40" w:line="240" w:lineRule="auto"/>
        <w:ind w:firstLine="245"/>
        <w:jc w:val="both"/>
      </w:pPr>
      <w:r>
        <w:rPr>
          <w:rFonts w:ascii="Times New Roman" w:hAnsi="Times New Roman"/>
          <w:b/>
          <w:i w:val="0"/>
          <w:sz w:val="20"/>
        </w:rPr>
        <w:t>The representation encodes the acquisition site.</w:t>
      </w:r>
      <w:r>
        <w:rPr>
          <w:rFonts w:ascii="Times New Roman" w:hAnsi="Times New Roman"/>
          <w:b w:val="0"/>
          <w:i w:val="0"/>
          <w:sz w:val="20"/>
        </w:rPr>
        <w:t xml:space="preserve"> A linear probe on the 64-d features identifies the site of held-out scans with 93.5% balanced accuracy, and </w:t>
      </w:r>
      <w:r>
        <w:rPr>
          <w:rFonts w:ascii="Times New Roman" w:hAnsi="Times New Roman"/>
          <w:b/>
          <w:i w:val="0"/>
          <w:sz w:val="20"/>
        </w:rPr>
        <w:t>91.2%</w:t>
      </w:r>
      <w:r>
        <w:rPr>
          <w:rFonts w:ascii="Times New Roman" w:hAnsi="Times New Roman"/>
          <w:b w:val="0"/>
          <w:i w:val="0"/>
          <w:sz w:val="20"/>
        </w:rPr>
        <w:t xml:space="preserve"> [86.6, 95.2] after age and sex are regressed out, against 40.8% from demographics alone (Table </w:t>
      </w:r>
      <w:r>
        <w:rPr>
          <w:rFonts w:ascii="Times New Roman" w:hAnsi="Times New Roman"/>
          <w:b w:val="0"/>
          <w:i w:val="0"/>
          <w:sz w:val="20"/>
        </w:rPr>
        <w:t>V</w:t>
      </w:r>
      <w:r>
        <w:rPr>
          <w:rFonts w:ascii="Times New Roman" w:hAnsi="Times New Roman"/>
          <w:b w:val="0"/>
          <w:i w:val="0"/>
          <w:sz w:val="20"/>
        </w:rPr>
        <w:t xml:space="preserve">, Fig. </w:t>
      </w:r>
      <w:r>
        <w:rPr>
          <w:rFonts w:ascii="Times New Roman" w:hAnsi="Times New Roman"/>
          <w:b w:val="0"/>
          <w:i w:val="0"/>
          <w:sz w:val="20"/>
        </w:rPr>
        <w:t>5</w:t>
      </w:r>
      <w:r>
        <w:rPr>
          <w:rFonts w:ascii="Times New Roman" w:hAnsi="Times New Roman"/>
          <w:b w:val="0"/>
          <w:i w:val="0"/>
          <w:sz w:val="20"/>
        </w:rPr>
        <w:t xml:space="preserve">). All 18 held-out IOP scans were identified and no other scan was labelled IOP. The signature is already present in the pretrained network (92.8%), so it reflects image appearance that survives preprocessing rather than something learned from IXI. This shows that site information is </w:t>
      </w:r>
      <w:r>
        <w:rPr>
          <w:rFonts w:ascii="Times New Roman" w:hAnsi="Times New Roman"/>
          <w:b w:val="0"/>
          <w:i/>
          <w:sz w:val="20"/>
        </w:rPr>
        <w:t>present</w:t>
      </w:r>
      <w:r>
        <w:rPr>
          <w:rFonts w:ascii="Times New Roman" w:hAnsi="Times New Roman"/>
          <w:b w:val="0"/>
          <w:i w:val="0"/>
          <w:sz w:val="20"/>
        </w:rPr>
        <w:t xml:space="preserve">; the next test asks whether the prediction </w:t>
      </w:r>
      <w:r>
        <w:rPr>
          <w:rFonts w:ascii="Times New Roman" w:hAnsi="Times New Roman"/>
          <w:b w:val="0"/>
          <w:i/>
          <w:sz w:val="20"/>
        </w:rPr>
        <w:t>responds</w:t>
      </w:r>
      <w:r>
        <w:rPr>
          <w:rFonts w:ascii="Times New Roman" w:hAnsi="Times New Roman"/>
          <w:b w:val="0"/>
          <w:i w:val="0"/>
          <w:sz w:val="20"/>
        </w:rPr>
        <w:t xml:space="preserve"> to it.</w:t>
      </w:r>
    </w:p>
    <w:p>
      <w:pPr>
        <w:keepNext/>
        <w:spacing w:before="120" w:after="0" w:line="240" w:lineRule="auto"/>
        <w:jc w:val="center"/>
      </w:pPr>
      <w:r>
        <w:rPr>
          <w:rFonts w:ascii="Times New Roman" w:hAnsi="Times New Roman"/>
          <w:b w:val="0"/>
          <w:i w:val="0"/>
          <w:sz w:val="16"/>
        </w:rPr>
        <w:t>TABLE V</w:t>
      </w:r>
    </w:p>
    <w:p>
      <w:pPr>
        <w:keepNext/>
        <w:spacing w:before="0" w:after="60" w:line="240" w:lineRule="auto"/>
        <w:jc w:val="center"/>
      </w:pPr>
      <w:r>
        <w:rPr>
          <w:rFonts w:ascii="Times New Roman" w:hAnsi="Times New Roman"/>
          <w:b w:val="0"/>
          <w:i w:val="0"/>
          <w:sz w:val="16"/>
        </w:rPr>
        <w:t>Site probe on held-out subjects (chance 33%)</w:t>
      </w:r>
    </w:p>
    <w:tbl>
      <w:tblPr>
        <w:tblW w:type="auto" w:w="0"/>
        <w:jc w:val="center"/>
        <w:tblLook w:firstColumn="1" w:firstRow="1" w:lastColumn="0" w:lastRow="0" w:noHBand="0" w:noVBand="1" w:val="04A0"/>
      </w:tblPr>
      <w:tblGrid>
        <w:gridCol w:w="5155"/>
        <w:gridCol w:w="5155"/>
      </w:tblGrid>
      <w:tr>
        <w:tc>
          <w:tcPr>
            <w:tcW w:type="dxa" w:w="5155"/>
            <w:tcBorders>
              <w:top w:val="single" w:sz="8"/>
              <w:bottom w:val="nil" w:sz="0"/>
              <w:left w:val="nil"/>
              <w:right w:val="nil"/>
            </w:tcBorders>
          </w:tcPr>
          <w:p>
            <w:pPr>
              <w:spacing w:before="20" w:after="20"/>
              <w:jc w:val="left"/>
            </w:pPr>
            <w:r>
              <w:rPr>
                <w:rFonts w:ascii="Times New Roman" w:hAnsi="Times New Roman"/>
                <w:b/>
                <w:i w:val="0"/>
                <w:sz w:val="16"/>
              </w:rPr>
              <w:t>Features</w:t>
            </w:r>
          </w:p>
        </w:tc>
        <w:tc>
          <w:tcPr>
            <w:tcW w:type="dxa" w:w="5155"/>
            <w:tcBorders>
              <w:top w:val="single" w:sz="8"/>
              <w:bottom w:val="nil" w:sz="0"/>
              <w:left w:val="nil"/>
              <w:right w:val="nil"/>
            </w:tcBorders>
          </w:tcPr>
          <w:p>
            <w:pPr>
              <w:spacing w:before="20" w:after="20"/>
              <w:jc w:val="center"/>
            </w:pPr>
            <w:r>
              <w:rPr>
                <w:rFonts w:ascii="Times New Roman" w:hAnsi="Times New Roman"/>
                <w:b/>
                <w:i w:val="0"/>
                <w:sz w:val="16"/>
              </w:rPr>
              <w:t>Balanced accuracy (%)</w:t>
            </w:r>
          </w:p>
        </w:tc>
      </w:tr>
      <w:tr>
        <w:tc>
          <w:tcPr>
            <w:tcW w:type="dxa" w:w="5155"/>
            <w:tcBorders>
              <w:top w:val="single" w:sz="8"/>
              <w:bottom w:val="nil" w:sz="0"/>
              <w:left w:val="nil"/>
              <w:right w:val="nil"/>
            </w:tcBorders>
          </w:tcPr>
          <w:p>
            <w:pPr>
              <w:spacing w:before="20" w:after="20"/>
              <w:jc w:val="left"/>
            </w:pPr>
            <w:r>
              <w:rPr>
                <w:rFonts w:ascii="Times New Roman" w:hAnsi="Times New Roman"/>
                <w:b w:val="0"/>
                <w:i w:val="0"/>
                <w:sz w:val="16"/>
              </w:rPr>
              <w:t>Age and sex only</w:t>
            </w:r>
          </w:p>
        </w:tc>
        <w:tc>
          <w:tcPr>
            <w:tcW w:type="dxa" w:w="5155"/>
            <w:tcBorders>
              <w:top w:val="single" w:sz="8"/>
              <w:bottom w:val="nil" w:sz="0"/>
              <w:left w:val="nil"/>
              <w:right w:val="nil"/>
            </w:tcBorders>
          </w:tcPr>
          <w:p>
            <w:pPr>
              <w:spacing w:before="20" w:after="20"/>
              <w:jc w:val="center"/>
            </w:pPr>
            <w:r>
              <w:rPr>
                <w:rFonts w:ascii="Times New Roman" w:hAnsi="Times New Roman"/>
                <w:b w:val="0"/>
                <w:i w:val="0"/>
                <w:sz w:val="16"/>
              </w:rPr>
              <w:t>40.8 [31.2, 50.9]</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Input intensity quantiles</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99.6 [98.7, 100]</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Pretrained SFCN (never saw IXI)</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92.8 [87.2, 96.9]</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Fine-tuned SFCN</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93.5 [88.1, 97.7]</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Fine-tuned SFCN, age/sex removed</w:t>
            </w:r>
          </w:p>
        </w:tc>
        <w:tc>
          <w:tcPr>
            <w:tcW w:type="dxa" w:w="5155"/>
            <w:tcBorders>
              <w:top w:val="nil" w:sz="0"/>
              <w:bottom w:val="nil" w:sz="0"/>
              <w:left w:val="nil"/>
              <w:right w:val="nil"/>
            </w:tcBorders>
          </w:tcPr>
          <w:p>
            <w:pPr>
              <w:spacing w:before="20" w:after="20"/>
              <w:jc w:val="center"/>
            </w:pPr>
            <w:r>
              <w:rPr>
                <w:rFonts w:ascii="Times New Roman" w:hAnsi="Times New Roman"/>
                <w:b/>
                <w:i w:val="0"/>
                <w:sz w:val="16"/>
              </w:rPr>
              <w:t>91.2</w:t>
            </w:r>
            <w:r>
              <w:rPr>
                <w:rFonts w:ascii="Times New Roman" w:hAnsi="Times New Roman"/>
                <w:b w:val="0"/>
                <w:i w:val="0"/>
                <w:sz w:val="16"/>
              </w:rPr>
              <w:t xml:space="preserve"> [86.6, 95.2]</w:t>
            </w:r>
          </w:p>
        </w:tc>
      </w:tr>
      <w:tr>
        <w:tc>
          <w:tcPr>
            <w:tcW w:type="dxa" w:w="5155"/>
            <w:tcBorders>
              <w:top w:val="nil" w:sz="0"/>
              <w:bottom w:val="single" w:sz="8"/>
              <w:left w:val="nil"/>
              <w:right w:val="nil"/>
            </w:tcBorders>
          </w:tcPr>
          <w:p>
            <w:pPr>
              <w:spacing w:before="20" w:after="20"/>
              <w:jc w:val="left"/>
            </w:pPr>
            <w:r>
              <w:rPr>
                <w:rFonts w:ascii="Times New Roman" w:hAnsi="Times New Roman"/>
                <w:b w:val="0"/>
                <w:i w:val="0"/>
                <w:sz w:val="16"/>
              </w:rPr>
              <w:t>After ComBat harmonisation</w:t>
            </w:r>
          </w:p>
        </w:tc>
        <w:tc>
          <w:tcPr>
            <w:tcW w:type="dxa" w:w="5155"/>
            <w:tcBorders>
              <w:top w:val="nil" w:sz="0"/>
              <w:bottom w:val="single" w:sz="8"/>
              <w:left w:val="nil"/>
              <w:right w:val="nil"/>
            </w:tcBorders>
          </w:tcPr>
          <w:p>
            <w:pPr>
              <w:spacing w:before="20" w:after="20"/>
              <w:jc w:val="center"/>
            </w:pPr>
            <w:r>
              <w:rPr>
                <w:rFonts w:ascii="Times New Roman" w:hAnsi="Times New Roman"/>
                <w:b w:val="0"/>
                <w:i w:val="0"/>
                <w:sz w:val="16"/>
              </w:rPr>
              <w:t>36.3</w:t>
            </w:r>
          </w:p>
        </w:tc>
      </w:tr>
    </w:tbl>
    <w:p>
      <w:pPr>
        <w:keepNext w:val="0"/>
        <w:spacing w:before="0" w:after="0" w:line="240" w:lineRule="auto"/>
        <w:ind w:firstLine="245"/>
        <w:jc w:val="both"/>
      </w:pPr>
    </w:p>
    <w:p>
      <w:pPr>
        <w:keepNext/>
        <w:jc w:val="center"/>
      </w:pPr>
      <w:r>
        <w:drawing>
          <wp:inline xmlns:a="http://schemas.openxmlformats.org/drawingml/2006/main" xmlns:pic="http://schemas.openxmlformats.org/drawingml/2006/picture">
            <wp:extent cx="3200400" cy="1120140"/>
            <wp:docPr id="6" name="Picture 6"/>
            <wp:cNvGraphicFramePr>
              <a:graphicFrameLocks noChangeAspect="1"/>
            </wp:cNvGraphicFramePr>
            <a:graphic>
              <a:graphicData uri="http://schemas.openxmlformats.org/drawingml/2006/picture">
                <pic:pic>
                  <pic:nvPicPr>
                    <pic:cNvPr id="0" name="site_probe.png"/>
                    <pic:cNvPicPr/>
                  </pic:nvPicPr>
                  <pic:blipFill>
                    <a:blip r:embed="rId14"/>
                    <a:stretch>
                      <a:fillRect/>
                    </a:stretch>
                  </pic:blipFill>
                  <pic:spPr>
                    <a:xfrm>
                      <a:off x="0" y="0"/>
                      <a:ext cx="3200400" cy="1120140"/>
                    </a:xfrm>
                    <a:prstGeom prst="rect"/>
                  </pic:spPr>
                </pic:pic>
              </a:graphicData>
            </a:graphic>
          </wp:inline>
        </w:drawing>
      </w:r>
    </w:p>
    <w:p>
      <w:pPr>
        <w:keepNext w:val="0"/>
        <w:spacing w:before="0" w:after="160" w:line="240" w:lineRule="auto"/>
        <w:jc w:val="both"/>
      </w:pPr>
      <w:r>
        <w:rPr>
          <w:rFonts w:ascii="Times New Roman" w:hAnsi="Times New Roman"/>
          <w:b w:val="0"/>
          <w:i w:val="0"/>
          <w:sz w:val="16"/>
        </w:rPr>
        <w:t xml:space="preserve">Fig. 5.  </w:t>
      </w:r>
      <w:r>
        <w:rPr>
          <w:rFonts w:ascii="Times New Roman" w:hAnsi="Times New Roman"/>
          <w:b w:val="0"/>
          <w:i w:val="0"/>
          <w:sz w:val="16"/>
        </w:rPr>
        <w:t>Site probe: balanced accuracy by feature set (left) and confusion matrix for fine-tuned features with age and sex removed (right).</w:t>
      </w:r>
    </w:p>
    <w:p>
      <w:pPr>
        <w:keepNext w:val="0"/>
        <w:spacing w:before="0" w:after="40" w:line="240" w:lineRule="auto"/>
        <w:ind w:firstLine="245"/>
        <w:jc w:val="both"/>
      </w:pPr>
      <w:r>
        <w:rPr>
          <w:rFonts w:ascii="Times New Roman" w:hAnsi="Times New Roman"/>
          <w:b/>
          <w:i w:val="0"/>
          <w:sz w:val="20"/>
        </w:rPr>
        <w:t>Predicted age responds to acquisition appearance.</w:t>
      </w:r>
      <w:r>
        <w:rPr>
          <w:rFonts w:ascii="Times New Roman" w:hAnsi="Times New Roman"/>
          <w:b w:val="0"/>
          <w:i w:val="0"/>
          <w:sz w:val="20"/>
        </w:rPr>
        <w:t xml:space="preserve"> Changing only the intensity appearance of the same brains shifts predicted age substantially (Fig. </w:t>
      </w:r>
      <w:r>
        <w:rPr>
          <w:rFonts w:ascii="Times New Roman" w:hAnsi="Times New Roman"/>
          <w:b w:val="0"/>
          <w:i w:val="0"/>
          <w:sz w:val="20"/>
        </w:rPr>
        <w:t>6</w:t>
      </w:r>
      <w:r>
        <w:rPr>
          <w:rFonts w:ascii="Times New Roman" w:hAnsi="Times New Roman"/>
          <w:b w:val="0"/>
          <w:i w:val="0"/>
          <w:sz w:val="20"/>
        </w:rPr>
        <w:t xml:space="preserve">). Relative to the own-site match, HH brains given an IOP appearance became </w:t>
      </w:r>
      <w:r>
        <w:rPr>
          <w:rFonts w:ascii="Times New Roman" w:hAnsi="Times New Roman"/>
          <w:b/>
          <w:i w:val="0"/>
          <w:sz w:val="20"/>
        </w:rPr>
        <w:t>3.92 years younger</w:t>
      </w:r>
      <w:r>
        <w:rPr>
          <w:rFonts w:ascii="Times New Roman" w:hAnsi="Times New Roman"/>
          <w:b w:val="0"/>
          <w:i w:val="0"/>
          <w:sz w:val="20"/>
        </w:rPr>
        <w:t xml:space="preserve"> [−4.47, −3.38] (45 of 45 subjects), and IOP brains given an HH appearance became </w:t>
      </w:r>
      <w:r>
        <w:rPr>
          <w:rFonts w:ascii="Times New Roman" w:hAnsi="Times New Roman"/>
          <w:b/>
          <w:i w:val="0"/>
          <w:sz w:val="20"/>
        </w:rPr>
        <w:t>3.14 years older</w:t>
      </w:r>
      <w:r>
        <w:rPr>
          <w:rFonts w:ascii="Times New Roman" w:hAnsi="Times New Roman"/>
          <w:b w:val="0"/>
          <w:i w:val="0"/>
          <w:sz w:val="20"/>
        </w:rPr>
        <w:t xml:space="preserve"> [2.44, 3.97] (18 of 18). Among single properties, strong blur (</w:t>
      </w:r>
      <w:r>
        <w:rPr>
          <w:rFonts w:ascii="Times New Roman" w:hAnsi="Times New Roman"/>
          <w:b w:val="0"/>
          <w:i w:val="0"/>
          <w:sz w:val="20"/>
        </w:rPr>
        <w:t>σ=1.5</w:t>
      </w:r>
      <w:r>
        <w:rPr>
          <w:rFonts w:ascii="Times New Roman" w:hAnsi="Times New Roman"/>
          <w:b w:val="0"/>
          <w:i w:val="0"/>
          <w:sz w:val="20"/>
        </w:rPr>
        <w:t xml:space="preserve"> voxels) lowered predicted age by 3.17 years [1.24, 5.11], contrast changes moved it by 0.4–0.9 years and noise and non-uniformity by less. The same anatomy therefore receives a different age depending on acquisition appearance.</w:t>
      </w:r>
    </w:p>
    <w:p>
      <w:pPr>
        <w:sectPr>
          <w:type w:val="continuous"/>
          <w:pgSz w:w="12240" w:h="15840"/>
          <w:pgMar w:top="1080" w:right="965" w:bottom="1440" w:left="965" w:header="720" w:footer="720" w:gutter="0"/>
          <w:cols w:space="360" w:num="2"/>
          <w:docGrid w:linePitch="360"/>
        </w:sectPr>
      </w:pPr>
    </w:p>
    <w:p>
      <w:pPr>
        <w:keepNext/>
        <w:jc w:val="center"/>
      </w:pPr>
      <w:r>
        <w:drawing>
          <wp:inline xmlns:a="http://schemas.openxmlformats.org/drawingml/2006/main" xmlns:pic="http://schemas.openxmlformats.org/drawingml/2006/picture">
            <wp:extent cx="5565038" cy="2040514"/>
            <wp:docPr id="7" name="Picture 7"/>
            <wp:cNvGraphicFramePr>
              <a:graphicFrameLocks noChangeAspect="1"/>
            </wp:cNvGraphicFramePr>
            <a:graphic>
              <a:graphicData uri="http://schemas.openxmlformats.org/drawingml/2006/picture">
                <pic:pic>
                  <pic:nvPicPr>
                    <pic:cNvPr id="0" name="stress_test.png"/>
                    <pic:cNvPicPr/>
                  </pic:nvPicPr>
                  <pic:blipFill>
                    <a:blip r:embed="rId15"/>
                    <a:stretch>
                      <a:fillRect/>
                    </a:stretch>
                  </pic:blipFill>
                  <pic:spPr>
                    <a:xfrm>
                      <a:off x="0" y="0"/>
                      <a:ext cx="5565038" cy="2040514"/>
                    </a:xfrm>
                    <a:prstGeom prst="rect"/>
                  </pic:spPr>
                </pic:pic>
              </a:graphicData>
            </a:graphic>
          </wp:inline>
        </w:drawing>
      </w:r>
    </w:p>
    <w:p>
      <w:pPr>
        <w:keepNext w:val="0"/>
        <w:spacing w:before="0" w:after="160" w:line="240" w:lineRule="auto"/>
        <w:jc w:val="center"/>
      </w:pPr>
      <w:r>
        <w:rPr>
          <w:rFonts w:ascii="Times New Roman" w:hAnsi="Times New Roman"/>
          <w:b w:val="0"/>
          <w:i w:val="0"/>
          <w:sz w:val="16"/>
        </w:rPr>
        <w:t xml:space="preserve">Fig. 6.  </w:t>
      </w:r>
      <w:r>
        <w:rPr>
          <w:rFonts w:ascii="Times New Roman" w:hAnsi="Times New Roman"/>
          <w:b w:val="0"/>
          <w:i w:val="0"/>
          <w:sz w:val="16"/>
        </w:rPr>
        <w:t>Acquisition stress test. Left: change in predicted age when each site's held-out brains are given each site's age- and sex-standardised intensity appearance (relative to own-site matching). Right: single acquisition perturbations.</w:t>
      </w:r>
    </w:p>
    <w:p>
      <w:pPr>
        <w:sectPr>
          <w:type w:val="continuous"/>
          <w:pgSz w:w="12240" w:h="15840"/>
          <w:pgMar w:top="1080" w:right="965" w:bottom="1440" w:left="965" w:header="720" w:footer="720" w:gutter="0"/>
          <w:cols w:space="360" w:num="1"/>
          <w:docGrid w:linePitch="360"/>
        </w:sectPr>
      </w:pPr>
    </w:p>
    <w:p>
      <w:pPr>
        <w:keepNext w:val="0"/>
        <w:spacing w:before="0" w:after="40" w:line="240" w:lineRule="auto"/>
        <w:ind w:firstLine="245"/>
        <w:jc w:val="both"/>
      </w:pPr>
      <w:r>
        <w:rPr>
          <w:rFonts w:ascii="Times New Roman" w:hAnsi="Times New Roman"/>
          <w:b/>
          <w:i w:val="0"/>
          <w:sz w:val="20"/>
        </w:rPr>
        <w:t>What the IOP offset is not.</w:t>
      </w:r>
      <w:r>
        <w:rPr>
          <w:rFonts w:ascii="Times New Roman" w:hAnsi="Times New Roman"/>
          <w:b w:val="0"/>
          <w:i w:val="0"/>
          <w:sz w:val="20"/>
        </w:rPr>
        <w:t xml:space="preserve"> We tested three acquisition explanations at IOP's measured levels (Table </w:t>
      </w:r>
      <w:r>
        <w:rPr>
          <w:rFonts w:ascii="Times New Roman" w:hAnsi="Times New Roman"/>
          <w:b w:val="0"/>
          <w:i w:val="0"/>
          <w:sz w:val="20"/>
        </w:rPr>
        <w:t>VI</w:t>
      </w:r>
      <w:r>
        <w:rPr>
          <w:rFonts w:ascii="Times New Roman" w:hAnsi="Times New Roman"/>
          <w:b w:val="0"/>
          <w:i w:val="0"/>
          <w:sz w:val="20"/>
        </w:rPr>
        <w:t xml:space="preserve">). (i) </w:t>
      </w:r>
      <w:r>
        <w:rPr>
          <w:rFonts w:ascii="Times New Roman" w:hAnsi="Times New Roman"/>
          <w:b w:val="0"/>
          <w:i/>
          <w:sz w:val="20"/>
        </w:rPr>
        <w:t>Global intensity:</w:t>
      </w:r>
      <w:r>
        <w:rPr>
          <w:rFonts w:ascii="Times New Roman" w:hAnsi="Times New Roman"/>
          <w:b w:val="0"/>
          <w:i w:val="0"/>
          <w:sz w:val="20"/>
        </w:rPr>
        <w:t xml:space="preserve"> after age/sex standardisation, swapping between the Guys and IOP appearances moved predicted age by at most about 1 year; without standardisation the effect looked larger (</w:t>
      </w:r>
      <w:r>
        <w:rPr>
          <w:rFonts w:ascii="Times New Roman" w:hAnsi="Times New Roman"/>
          <w:b w:val="0"/>
          <w:i w:val="0"/>
          <w:sz w:val="20"/>
        </w:rPr>
        <w:t>−0.60/+1.60</w:t>
      </w:r>
      <w:r>
        <w:rPr>
          <w:rFonts w:ascii="Times New Roman" w:hAnsi="Times New Roman"/>
          <w:b w:val="0"/>
          <w:i w:val="0"/>
          <w:sz w:val="20"/>
        </w:rPr>
        <w:t xml:space="preserve">) because IOP's younger recruitment had leaked into its reference. (ii) </w:t>
      </w:r>
      <w:r>
        <w:rPr>
          <w:rFonts w:ascii="Times New Roman" w:hAnsi="Times New Roman"/>
          <w:b w:val="0"/>
          <w:i/>
          <w:sz w:val="20"/>
        </w:rPr>
        <w:t>Smoothness:</w:t>
      </w:r>
      <w:r>
        <w:rPr>
          <w:rFonts w:ascii="Times New Roman" w:hAnsi="Times New Roman"/>
          <w:b w:val="0"/>
          <w:i w:val="0"/>
          <w:sz w:val="20"/>
        </w:rPr>
        <w:t xml:space="preserve"> native resolution is identical across sites (</w:t>
      </w:r>
      <w:r>
        <w:rPr>
          <w:rFonts w:ascii="Times New Roman" w:hAnsi="Times New Roman"/>
          <w:b w:val="0"/>
          <w:i w:val="0"/>
          <w:sz w:val="20"/>
        </w:rPr>
        <w:t>0.94×0.94×1.2</w:t>
      </w:r>
      <w:r>
        <w:rPr>
          <w:rFonts w:ascii="Times New Roman" w:hAnsi="Times New Roman"/>
          <w:b w:val="0"/>
          <w:i w:val="0"/>
          <w:sz w:val="20"/>
        </w:rPr>
        <w:t xml:space="preserve"> mm), yet IOP inputs are markedly smoother (FWHM +0.87 mm, +2.38 SD vs Guys, age/sex-adjusted). Blurring Guys and HH brains to IOP's smoothness did </w:t>
      </w:r>
      <w:r>
        <w:rPr>
          <w:rFonts w:ascii="Times New Roman" w:hAnsi="Times New Roman"/>
          <w:b w:val="0"/>
          <w:i/>
          <w:sz w:val="20"/>
        </w:rPr>
        <w:t>not</w:t>
      </w:r>
      <w:r>
        <w:rPr>
          <w:rFonts w:ascii="Times New Roman" w:hAnsi="Times New Roman"/>
          <w:b w:val="0"/>
          <w:i w:val="0"/>
          <w:sz w:val="20"/>
        </w:rPr>
        <w:t xml:space="preserve"> lower predicted age. (iii) </w:t>
      </w:r>
      <w:r>
        <w:rPr>
          <w:rFonts w:ascii="Times New Roman" w:hAnsi="Times New Roman"/>
          <w:b w:val="0"/>
          <w:i/>
          <w:sz w:val="20"/>
        </w:rPr>
        <w:t>Site signature:</w:t>
      </w:r>
      <w:r>
        <w:rPr>
          <w:rFonts w:ascii="Times New Roman" w:hAnsi="Times New Roman"/>
          <w:b w:val="0"/>
          <w:i w:val="0"/>
          <w:sz w:val="20"/>
        </w:rPr>
        <w:t xml:space="preserve"> ComBat removed the representation's site signature (probe </w:t>
      </w:r>
      <w:r>
        <w:rPr>
          <w:rFonts w:ascii="Times New Roman" w:hAnsi="Times New Roman"/>
          <w:b w:val="0"/>
          <w:i w:val="0"/>
          <w:sz w:val="20"/>
        </w:rPr>
        <w:t>91.2→36.3%</w:t>
      </w:r>
      <w:r>
        <w:rPr>
          <w:rFonts w:ascii="Times New Roman" w:hAnsi="Times New Roman"/>
          <w:b w:val="0"/>
          <w:i w:val="0"/>
          <w:sz w:val="20"/>
        </w:rPr>
        <w:t xml:space="preserve">) at no cost in accuracy (held-out MAE </w:t>
      </w:r>
      <w:r>
        <w:rPr>
          <w:rFonts w:ascii="Times New Roman" w:hAnsi="Times New Roman"/>
          <w:b w:val="0"/>
          <w:i w:val="0"/>
          <w:sz w:val="20"/>
        </w:rPr>
        <w:t>3.81→3.90</w:t>
      </w:r>
      <w:r>
        <w:rPr>
          <w:rFonts w:ascii="Times New Roman" w:hAnsi="Times New Roman"/>
          <w:b w:val="0"/>
          <w:i w:val="0"/>
          <w:sz w:val="20"/>
        </w:rPr>
        <w:t xml:space="preserve">), but the IOP offset largely persisted, </w:t>
      </w:r>
      <w:r>
        <w:rPr>
          <w:rFonts w:ascii="Times New Roman" w:hAnsi="Times New Roman"/>
          <w:b w:val="0"/>
          <w:i w:val="0"/>
          <w:sz w:val="20"/>
        </w:rPr>
        <w:t>−4.53→−3.95</w:t>
      </w:r>
      <w:r>
        <w:rPr>
          <w:rFonts w:ascii="Times New Roman" w:hAnsi="Times New Roman"/>
          <w:b w:val="0"/>
          <w:i w:val="0"/>
          <w:sz w:val="20"/>
        </w:rPr>
        <w:t xml:space="preserve"> years (Fig. </w:t>
      </w:r>
      <w:r>
        <w:rPr>
          <w:rFonts w:ascii="Times New Roman" w:hAnsi="Times New Roman"/>
          <w:b w:val="0"/>
          <w:i w:val="0"/>
          <w:sz w:val="20"/>
        </w:rPr>
        <w:t>7</w:t>
      </w:r>
      <w:r>
        <w:rPr>
          <w:rFonts w:ascii="Times New Roman" w:hAnsi="Times New Roman"/>
          <w:b w:val="0"/>
          <w:i w:val="0"/>
          <w:sz w:val="20"/>
        </w:rPr>
        <w:t>).</w:t>
      </w:r>
    </w:p>
    <w:p>
      <w:pPr>
        <w:keepNext/>
        <w:spacing w:before="120" w:after="0" w:line="240" w:lineRule="auto"/>
        <w:jc w:val="center"/>
      </w:pPr>
      <w:r>
        <w:rPr>
          <w:rFonts w:ascii="Times New Roman" w:hAnsi="Times New Roman"/>
          <w:b w:val="0"/>
          <w:i w:val="0"/>
          <w:sz w:val="16"/>
        </w:rPr>
        <w:t>TABLE VI</w:t>
      </w:r>
    </w:p>
    <w:p>
      <w:pPr>
        <w:keepNext/>
        <w:spacing w:before="0" w:after="60" w:line="240" w:lineRule="auto"/>
        <w:jc w:val="center"/>
      </w:pPr>
      <w:r>
        <w:rPr>
          <w:rFonts w:ascii="Times New Roman" w:hAnsi="Times New Roman"/>
          <w:b w:val="0"/>
          <w:i w:val="0"/>
          <w:sz w:val="16"/>
        </w:rPr>
        <w:t>Rule-out tests for the IOP offset (years, 95% CI)</w:t>
      </w:r>
    </w:p>
    <w:tbl>
      <w:tblPr>
        <w:tblW w:type="auto" w:w="0"/>
        <w:jc w:val="center"/>
        <w:tblLook w:firstColumn="1" w:firstRow="1" w:lastColumn="0" w:lastRow="0" w:noHBand="0" w:noVBand="1" w:val="04A0"/>
      </w:tblPr>
      <w:tblGrid>
        <w:gridCol w:w="5155"/>
        <w:gridCol w:w="5155"/>
      </w:tblGrid>
      <w:tr>
        <w:tc>
          <w:tcPr>
            <w:tcW w:type="dxa" w:w="5155"/>
            <w:tcBorders>
              <w:top w:val="single" w:sz="8"/>
              <w:bottom w:val="nil" w:sz="0"/>
              <w:left w:val="nil"/>
              <w:right w:val="nil"/>
            </w:tcBorders>
          </w:tcPr>
          <w:p>
            <w:pPr>
              <w:spacing w:before="20" w:after="20"/>
              <w:jc w:val="left"/>
            </w:pPr>
            <w:r>
              <w:rPr>
                <w:rFonts w:ascii="Times New Roman" w:hAnsi="Times New Roman"/>
                <w:b/>
                <w:i w:val="0"/>
                <w:sz w:val="16"/>
              </w:rPr>
              <w:t>Test at IOP's measured level</w:t>
            </w:r>
          </w:p>
        </w:tc>
        <w:tc>
          <w:tcPr>
            <w:tcW w:type="dxa" w:w="5155"/>
            <w:tcBorders>
              <w:top w:val="single" w:sz="8"/>
              <w:bottom w:val="nil" w:sz="0"/>
              <w:left w:val="nil"/>
              <w:right w:val="nil"/>
            </w:tcBorders>
          </w:tcPr>
          <w:p>
            <w:pPr>
              <w:spacing w:before="20" w:after="20"/>
              <w:jc w:val="center"/>
            </w:pPr>
            <w:r>
              <w:rPr>
                <w:rFonts w:ascii="Times New Roman" w:hAnsi="Times New Roman"/>
                <w:b/>
                <w:i w:val="0"/>
                <w:sz w:val="16"/>
              </w:rPr>
              <w:t>Effect</w:t>
            </w:r>
          </w:p>
        </w:tc>
      </w:tr>
      <w:tr>
        <w:tc>
          <w:tcPr>
            <w:tcW w:type="dxa" w:w="5155"/>
            <w:tcBorders>
              <w:top w:val="single" w:sz="8"/>
              <w:bottom w:val="nil" w:sz="0"/>
              <w:left w:val="nil"/>
              <w:right w:val="nil"/>
            </w:tcBorders>
          </w:tcPr>
          <w:p>
            <w:pPr>
              <w:spacing w:before="20" w:after="20"/>
              <w:jc w:val="left"/>
            </w:pPr>
            <w:r>
              <w:rPr>
                <w:rFonts w:ascii="Times New Roman" w:hAnsi="Times New Roman"/>
                <w:b w:val="0"/>
                <w:i w:val="0"/>
                <w:sz w:val="16"/>
              </w:rPr>
              <w:t xml:space="preserve">Guys </w:t>
            </w:r>
            <w:r>
              <w:rPr>
                <w:rFonts w:ascii="Times New Roman" w:hAnsi="Times New Roman"/>
                <w:b w:val="0"/>
                <w:i w:val="0"/>
                <w:sz w:val="16"/>
              </w:rPr>
              <w:t>→</w:t>
            </w:r>
            <w:r>
              <w:rPr>
                <w:rFonts w:ascii="Times New Roman" w:hAnsi="Times New Roman"/>
                <w:b w:val="0"/>
                <w:i w:val="0"/>
                <w:sz w:val="16"/>
              </w:rPr>
              <w:t xml:space="preserve"> IOP intensity look</w:t>
            </w:r>
          </w:p>
        </w:tc>
        <w:tc>
          <w:tcPr>
            <w:tcW w:type="dxa" w:w="5155"/>
            <w:tcBorders>
              <w:top w:val="single" w:sz="8"/>
              <w:bottom w:val="nil" w:sz="0"/>
              <w:left w:val="nil"/>
              <w:right w:val="nil"/>
            </w:tcBorders>
          </w:tcPr>
          <w:p>
            <w:pPr>
              <w:spacing w:before="20" w:after="20"/>
              <w:jc w:val="center"/>
            </w:pPr>
            <w:r>
              <w:rPr>
                <w:rFonts w:ascii="Times New Roman" w:hAnsi="Times New Roman"/>
                <w:b w:val="0"/>
                <w:i w:val="0"/>
                <w:sz w:val="16"/>
              </w:rPr>
              <w:t>+0.11</w:t>
            </w:r>
            <w:r>
              <w:rPr>
                <w:rFonts w:ascii="Times New Roman" w:hAnsi="Times New Roman"/>
                <w:b w:val="0"/>
                <w:i w:val="0"/>
                <w:sz w:val="16"/>
              </w:rPr>
              <w:t xml:space="preserve"> [−0.18, +0.39]</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 xml:space="preserve">IOP </w:t>
            </w:r>
            <w:r>
              <w:rPr>
                <w:rFonts w:ascii="Times New Roman" w:hAnsi="Times New Roman"/>
                <w:b w:val="0"/>
                <w:i w:val="0"/>
                <w:sz w:val="16"/>
              </w:rPr>
              <w:t>→</w:t>
            </w:r>
            <w:r>
              <w:rPr>
                <w:rFonts w:ascii="Times New Roman" w:hAnsi="Times New Roman"/>
                <w:b w:val="0"/>
                <w:i w:val="0"/>
                <w:sz w:val="16"/>
              </w:rPr>
              <w:t xml:space="preserve"> Guys intensity look</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+0.90</w:t>
            </w:r>
            <w:r>
              <w:rPr>
                <w:rFonts w:ascii="Times New Roman" w:hAnsi="Times New Roman"/>
                <w:b w:val="0"/>
                <w:i w:val="0"/>
                <w:sz w:val="16"/>
              </w:rPr>
              <w:t xml:space="preserve"> [+0.17, +1.70]</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Guys blurred to IOP smoothness</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+0.93</w:t>
            </w:r>
            <w:r>
              <w:rPr>
                <w:rFonts w:ascii="Times New Roman" w:hAnsi="Times New Roman"/>
                <w:b w:val="0"/>
                <w:i w:val="0"/>
                <w:sz w:val="16"/>
              </w:rPr>
              <w:t xml:space="preserve"> [+0.60, +1.28]</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HH blurred to IOP smoothness</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+0.01</w:t>
            </w:r>
            <w:r>
              <w:rPr>
                <w:rFonts w:ascii="Times New Roman" w:hAnsi="Times New Roman"/>
                <w:b w:val="0"/>
                <w:i w:val="0"/>
                <w:sz w:val="16"/>
              </w:rPr>
              <w:t xml:space="preserve"> [−0.32, +0.36]</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IOP offset before ComBat</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−4.53</w:t>
            </w:r>
            <w:r>
              <w:rPr>
                <w:rFonts w:ascii="Times New Roman" w:hAnsi="Times New Roman"/>
                <w:b w:val="0"/>
                <w:i w:val="0"/>
                <w:sz w:val="16"/>
              </w:rPr>
              <w:t xml:space="preserve"> [−7.04, −2.01]</w:t>
            </w:r>
          </w:p>
        </w:tc>
      </w:tr>
      <w:tr>
        <w:tc>
          <w:tcPr>
            <w:tcW w:type="dxa" w:w="5155"/>
            <w:tcBorders>
              <w:top w:val="nil" w:sz="0"/>
              <w:bottom w:val="single" w:sz="8"/>
              <w:left w:val="nil"/>
              <w:right w:val="nil"/>
            </w:tcBorders>
          </w:tcPr>
          <w:p>
            <w:pPr>
              <w:spacing w:before="20" w:after="20"/>
              <w:jc w:val="left"/>
            </w:pPr>
            <w:r>
              <w:rPr>
                <w:rFonts w:ascii="Times New Roman" w:hAnsi="Times New Roman"/>
                <w:b w:val="0"/>
                <w:i w:val="0"/>
                <w:sz w:val="16"/>
              </w:rPr>
              <w:t>IOP offset after ComBat</w:t>
            </w:r>
          </w:p>
        </w:tc>
        <w:tc>
          <w:tcPr>
            <w:tcW w:type="dxa" w:w="5155"/>
            <w:tcBorders>
              <w:top w:val="nil" w:sz="0"/>
              <w:bottom w:val="single" w:sz="8"/>
              <w:left w:val="nil"/>
              <w:right w:val="nil"/>
            </w:tcBorders>
          </w:tcPr>
          <w:p>
            <w:pPr>
              <w:spacing w:before="20" w:after="20"/>
              <w:jc w:val="center"/>
            </w:pPr>
            <w:r>
              <w:rPr>
                <w:rFonts w:ascii="Times New Roman" w:hAnsi="Times New Roman"/>
                <w:b w:val="0"/>
                <w:i w:val="0"/>
                <w:sz w:val="16"/>
              </w:rPr>
              <w:t>−3.95</w:t>
            </w:r>
            <w:r>
              <w:rPr>
                <w:rFonts w:ascii="Times New Roman" w:hAnsi="Times New Roman"/>
                <w:b w:val="0"/>
                <w:i w:val="0"/>
                <w:sz w:val="16"/>
              </w:rPr>
              <w:t xml:space="preserve"> [−6.40, −1.37]</w:t>
            </w:r>
          </w:p>
        </w:tc>
      </w:tr>
    </w:tbl>
    <w:p>
      <w:pPr>
        <w:keepNext w:val="0"/>
        <w:spacing w:before="0" w:after="0" w:line="240" w:lineRule="auto"/>
        <w:jc w:val="left"/>
      </w:pPr>
      <w:r>
        <w:rPr>
          <w:rFonts w:ascii="Times New Roman" w:hAnsi="Times New Roman"/>
          <w:b w:val="0"/>
          <w:i w:val="0"/>
          <w:sz w:val="15"/>
        </w:rPr>
        <w:t>None reproduces a 5-year younger prediction.</w:t>
      </w:r>
    </w:p>
    <w:p>
      <w:pPr>
        <w:keepNext w:val="0"/>
        <w:spacing w:before="0" w:after="0" w:line="240" w:lineRule="auto"/>
        <w:ind w:firstLine="245"/>
        <w:jc w:val="both"/>
      </w:pPr>
    </w:p>
    <w:p>
      <w:pPr>
        <w:sectPr>
          <w:type w:val="continuous"/>
          <w:pgSz w:w="12240" w:h="15840"/>
          <w:pgMar w:top="1080" w:right="965" w:bottom="1440" w:left="965" w:header="720" w:footer="720" w:gutter="0"/>
          <w:cols w:space="360" w:num="2"/>
          <w:docGrid w:linePitch="360"/>
        </w:sectPr>
      </w:pPr>
    </w:p>
    <w:p>
      <w:pPr>
        <w:keepNext/>
        <w:jc w:val="center"/>
      </w:pPr>
      <w:r>
        <w:drawing>
          <wp:inline xmlns:a="http://schemas.openxmlformats.org/drawingml/2006/main" xmlns:pic="http://schemas.openxmlformats.org/drawingml/2006/picture">
            <wp:extent cx="6219748" cy="1777071"/>
            <wp:docPr id="8" name="Picture 8"/>
            <wp:cNvGraphicFramePr>
              <a:graphicFrameLocks noChangeAspect="1"/>
            </wp:cNvGraphicFramePr>
            <a:graphic>
              <a:graphicData uri="http://schemas.openxmlformats.org/drawingml/2006/picture">
                <pic:pic>
                  <pic:nvPicPr>
                    <pic:cNvPr id="0" name="harmonisation.png"/>
                    <pic:cNvPicPr/>
                  </pic:nvPicPr>
                  <pic:blipFill>
                    <a:blip r:embed="rId16"/>
                    <a:stretch>
                      <a:fillRect/>
                    </a:stretch>
                  </pic:blipFill>
                  <pic:spPr>
                    <a:xfrm>
                      <a:off x="0" y="0"/>
                      <a:ext cx="6219748" cy="1777071"/>
                    </a:xfrm>
                    <a:prstGeom prst="rect"/>
                  </pic:spPr>
                </pic:pic>
              </a:graphicData>
            </a:graphic>
          </wp:inline>
        </w:drawing>
      </w:r>
    </w:p>
    <w:p>
      <w:pPr>
        <w:keepNext w:val="0"/>
        <w:spacing w:before="0" w:after="160" w:line="240" w:lineRule="auto"/>
        <w:jc w:val="center"/>
      </w:pPr>
      <w:r>
        <w:rPr>
          <w:rFonts w:ascii="Times New Roman" w:hAnsi="Times New Roman"/>
          <w:b w:val="0"/>
          <w:i w:val="0"/>
          <w:sz w:val="16"/>
        </w:rPr>
        <w:t xml:space="preserve">Fig. 7.  </w:t>
      </w:r>
      <w:r>
        <w:rPr>
          <w:rFonts w:ascii="Times New Roman" w:hAnsi="Times New Roman"/>
          <w:b w:val="0"/>
          <w:i w:val="0"/>
          <w:sz w:val="16"/>
        </w:rPr>
        <w:t>ComBat feature harmonisation: the site fingerprint is removed (left), accuracy is unchanged (right), but most of the IOP offset remains (middle).</w:t>
      </w:r>
    </w:p>
    <w:p>
      <w:pPr>
        <w:sectPr>
          <w:type w:val="continuous"/>
          <w:pgSz w:w="12240" w:h="15840"/>
          <w:pgMar w:top="1080" w:right="965" w:bottom="1440" w:left="965" w:header="720" w:footer="720" w:gutter="0"/>
          <w:cols w:space="360" w:num="1"/>
          <w:docGrid w:linePitch="360"/>
        </w:sectPr>
      </w:pPr>
    </w:p>
    <w:p>
      <w:pPr>
        <w:keepNext/>
        <w:spacing w:before="80" w:after="40" w:line="240" w:lineRule="auto"/>
        <w:jc w:val="left"/>
      </w:pPr>
      <w:r>
        <w:rPr>
          <w:rFonts w:ascii="Times New Roman" w:hAnsi="Times New Roman"/>
          <w:b w:val="0"/>
          <w:i/>
          <w:sz w:val="20"/>
        </w:rPr>
        <w:t>E. Does the model know when it is unsure?</w:t>
      </w:r>
    </w:p>
    <w:p>
      <w:pPr>
        <w:keepNext w:val="0"/>
        <w:spacing w:before="0" w:after="40" w:line="240" w:lineRule="auto"/>
        <w:ind w:firstLine="245"/>
        <w:jc w:val="both"/>
      </w:pPr>
      <w:r>
        <w:rPr>
          <w:rFonts w:ascii="Times New Roman" w:hAnsi="Times New Roman"/>
          <w:b w:val="0"/>
          <w:i w:val="0"/>
          <w:sz w:val="20"/>
        </w:rPr>
        <w:t xml:space="preserve">The model's predictive spread was larger for IOP (8.06 years vs 5.66 Guys and 6.39 HH; adjusted +2.48 [1.30, 3.65]), and its 90% ranges contained the true age for 88% of held-out subjects. The model never trained on IOP was twice as uncertain there (12.46 vs 6.13; +5.32 [4.65, 5.99]) yet kept 92% coverage despite an MAE of 6.80: it is less accurate but signals it, rather than being confidently wrong (Fig. </w:t>
      </w:r>
      <w:r>
        <w:rPr>
          <w:rFonts w:ascii="Times New Roman" w:hAnsi="Times New Roman"/>
          <w:b w:val="0"/>
          <w:i w:val="0"/>
          <w:sz w:val="20"/>
        </w:rPr>
        <w:t>8</w:t>
      </w:r>
      <w:r>
        <w:rPr>
          <w:rFonts w:ascii="Times New Roman" w:hAnsi="Times New Roman"/>
          <w:b w:val="0"/>
          <w:i w:val="0"/>
          <w:sz w:val="20"/>
        </w:rPr>
        <w:t>). For HH, which LOSO generalises to, uncertainty barely rose (+0.79). Per subject, uncertainty tracked error only weakly (Spearman 0.16), so it is a group-level warning, not a per-scan error detector.</w:t>
      </w:r>
    </w:p>
    <w:p>
      <w:pPr>
        <w:sectPr>
          <w:type w:val="continuous"/>
          <w:pgSz w:w="12240" w:h="15840"/>
          <w:pgMar w:top="1080" w:right="965" w:bottom="1440" w:left="965" w:header="720" w:footer="720" w:gutter="0"/>
          <w:cols w:space="360" w:num="2"/>
          <w:docGrid w:linePitch="360"/>
        </w:sectPr>
      </w:pPr>
    </w:p>
    <w:p>
      <w:pPr>
        <w:keepNext/>
        <w:jc w:val="center"/>
      </w:pPr>
      <w:r>
        <w:drawing>
          <wp:inline xmlns:a="http://schemas.openxmlformats.org/drawingml/2006/main" xmlns:pic="http://schemas.openxmlformats.org/drawingml/2006/picture">
            <wp:extent cx="6219748" cy="1741529"/>
            <wp:docPr id="9" name="Picture 9"/>
            <wp:cNvGraphicFramePr>
              <a:graphicFrameLocks noChangeAspect="1"/>
            </wp:cNvGraphicFramePr>
            <a:graphic>
              <a:graphicData uri="http://schemas.openxmlformats.org/drawingml/2006/picture">
                <pic:pic>
                  <pic:nvPicPr>
                    <pic:cNvPr id="0" name="uncertainty.png"/>
                    <pic:cNvPicPr/>
                  </pic:nvPicPr>
                  <pic:blipFill>
                    <a:blip r:embed="rId17"/>
                    <a:stretch>
                      <a:fillRect/>
                    </a:stretch>
                  </pic:blipFill>
                  <pic:spPr>
                    <a:xfrm>
                      <a:off x="0" y="0"/>
                      <a:ext cx="6219748" cy="1741529"/>
                    </a:xfrm>
                    <a:prstGeom prst="rect"/>
                  </pic:spPr>
                </pic:pic>
              </a:graphicData>
            </a:graphic>
          </wp:inline>
        </w:drawing>
      </w:r>
    </w:p>
    <w:p>
      <w:pPr>
        <w:keepNext w:val="0"/>
        <w:spacing w:before="0" w:after="160" w:line="240" w:lineRule="auto"/>
        <w:jc w:val="center"/>
      </w:pPr>
      <w:r>
        <w:rPr>
          <w:rFonts w:ascii="Times New Roman" w:hAnsi="Times New Roman"/>
          <w:b w:val="0"/>
          <w:i w:val="0"/>
          <w:sz w:val="16"/>
        </w:rPr>
        <w:t xml:space="preserve">Fig. 8.  </w:t>
      </w:r>
      <w:r>
        <w:rPr>
          <w:rFonts w:ascii="Times New Roman" w:hAnsi="Times New Roman"/>
          <w:b w:val="0"/>
          <w:i w:val="0"/>
          <w:sz w:val="16"/>
        </w:rPr>
        <w:t>Predictive uncertainty. Left: uncertainty against absolute error. Middle: coverage of the model's own 90% range. Right: mean uncertainty by site for the main model and the leave-one-site-out models.</w:t>
      </w:r>
    </w:p>
    <w:p>
      <w:pPr>
        <w:sectPr>
          <w:type w:val="continuous"/>
          <w:pgSz w:w="12240" w:h="15840"/>
          <w:pgMar w:top="1080" w:right="965" w:bottom="1440" w:left="965" w:header="720" w:footer="720" w:gutter="0"/>
          <w:cols w:space="360" w:num="1"/>
          <w:docGrid w:linePitch="360"/>
        </w:sectPr>
      </w:pPr>
    </w:p>
    <w:p>
      <w:pPr>
        <w:keepNext/>
        <w:spacing w:before="80" w:after="40" w:line="240" w:lineRule="auto"/>
        <w:jc w:val="left"/>
      </w:pPr>
      <w:r>
        <w:rPr>
          <w:rFonts w:ascii="Times New Roman" w:hAnsi="Times New Roman"/>
          <w:b w:val="0"/>
          <w:i/>
          <w:sz w:val="20"/>
        </w:rPr>
        <w:t>F. Model fairness passport</w:t>
      </w:r>
    </w:p>
    <w:p>
      <w:pPr>
        <w:keepNext w:val="0"/>
        <w:spacing w:before="0" w:after="40" w:line="240" w:lineRule="auto"/>
        <w:ind w:firstLine="245"/>
        <w:jc w:val="both"/>
      </w:pPr>
      <w:r>
        <w:rPr>
          <w:rFonts w:ascii="Times New Roman" w:hAnsi="Times New Roman"/>
          <w:b w:val="0"/>
          <w:i w:val="0"/>
          <w:sz w:val="20"/>
        </w:rPr>
        <w:t xml:space="preserve">Table </w:t>
      </w:r>
      <w:r>
        <w:rPr>
          <w:rFonts w:ascii="Times New Roman" w:hAnsi="Times New Roman"/>
          <w:b w:val="0"/>
          <w:i w:val="0"/>
          <w:sz w:val="20"/>
        </w:rPr>
        <w:t>VII</w:t>
      </w:r>
      <w:r>
        <w:rPr>
          <w:rFonts w:ascii="Times New Roman" w:hAnsi="Times New Roman"/>
          <w:b w:val="0"/>
          <w:i w:val="0"/>
          <w:sz w:val="20"/>
        </w:rPr>
        <w:t xml:space="preserve"> condenses the audit into six verdicts. The full one-page passport, with evidence and usage guidance (suitable for single-site research; not for clinical use or uncorrected cross-scanner comparison), is released with the code.</w:t>
      </w:r>
    </w:p>
    <w:p>
      <w:pPr>
        <w:keepNext/>
        <w:spacing w:before="120" w:after="0" w:line="240" w:lineRule="auto"/>
        <w:jc w:val="center"/>
      </w:pPr>
      <w:r>
        <w:rPr>
          <w:rFonts w:ascii="Times New Roman" w:hAnsi="Times New Roman"/>
          <w:b w:val="0"/>
          <w:i w:val="0"/>
          <w:sz w:val="16"/>
        </w:rPr>
        <w:t>TABLE VII</w:t>
      </w:r>
    </w:p>
    <w:p>
      <w:pPr>
        <w:keepNext/>
        <w:spacing w:before="0" w:after="60" w:line="240" w:lineRule="auto"/>
        <w:jc w:val="center"/>
      </w:pPr>
      <w:r>
        <w:rPr>
          <w:rFonts w:ascii="Times New Roman" w:hAnsi="Times New Roman"/>
          <w:b w:val="0"/>
          <w:i w:val="0"/>
          <w:sz w:val="16"/>
        </w:rPr>
        <w:t>Model fairness passport: summary verdicts</w:t>
      </w:r>
    </w:p>
    <w:tbl>
      <w:tblPr>
        <w:tblW w:type="auto" w:w="0"/>
        <w:jc w:val="center"/>
        <w:tblLook w:firstColumn="1" w:firstRow="1" w:lastColumn="0" w:lastRow="0" w:noHBand="0" w:noVBand="1" w:val="04A0"/>
      </w:tblPr>
      <w:tblGrid>
        <w:gridCol w:w="3437"/>
        <w:gridCol w:w="3437"/>
        <w:gridCol w:w="3437"/>
      </w:tblGrid>
      <w:tr>
        <w:tc>
          <w:tcPr>
            <w:tcW w:type="dxa" w:w="3437"/>
            <w:tcBorders>
              <w:top w:val="single" w:sz="8"/>
              <w:bottom w:val="nil" w:sz="0"/>
              <w:left w:val="nil"/>
              <w:right w:val="nil"/>
            </w:tcBorders>
          </w:tcPr>
          <w:p>
            <w:pPr>
              <w:spacing w:before="20" w:after="20"/>
              <w:jc w:val="left"/>
            </w:pPr>
            <w:r>
              <w:rPr>
                <w:rFonts w:ascii="Times New Roman" w:hAnsi="Times New Roman"/>
                <w:b/>
                <w:i w:val="0"/>
                <w:sz w:val="16"/>
              </w:rPr>
              <w:t>Check</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Verdict</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Evidence</w:t>
            </w:r>
          </w:p>
        </w:tc>
      </w:tr>
      <w:tr>
        <w:tc>
          <w:tcPr>
            <w:tcW w:type="dxa" w:w="3437"/>
            <w:tcBorders>
              <w:top w:val="single" w:sz="8"/>
              <w:bottom w:val="nil" w:sz="0"/>
              <w:left w:val="nil"/>
              <w:right w:val="nil"/>
            </w:tcBorders>
          </w:tcPr>
          <w:p>
            <w:pPr>
              <w:spacing w:before="20" w:after="20"/>
              <w:jc w:val="left"/>
            </w:pPr>
            <w:r>
              <w:rPr>
                <w:rFonts w:ascii="Times New Roman" w:hAnsi="Times New Roman"/>
                <w:b w:val="0"/>
                <w:i w:val="0"/>
                <w:sz w:val="16"/>
              </w:rPr>
              <w:t>Accuracy</w:t>
            </w:r>
          </w:p>
        </w:tc>
        <w:tc>
          <w:tcPr>
            <w:tcW w:type="dxa" w:w="3437"/>
            <w:tcBorders>
              <w:top w:val="single" w:sz="8"/>
              <w:bottom w:val="nil" w:sz="0"/>
              <w:left w:val="nil"/>
              <w:right w:val="nil"/>
            </w:tcBorders>
          </w:tcPr>
          <w:p>
            <w:pPr>
              <w:spacing w:before="20" w:after="20"/>
              <w:jc w:val="center"/>
            </w:pPr>
            <w:r>
              <w:rPr>
                <w:rFonts w:ascii="Times New Roman" w:hAnsi="Times New Roman"/>
                <w:b/>
                <w:i w:val="0"/>
                <w:color w:val="0F7A3A"/>
                <w:sz w:val="16"/>
              </w:rPr>
              <w:t>PASS</w:t>
            </w:r>
          </w:p>
        </w:tc>
        <w:tc>
          <w:tcPr>
            <w:tcW w:type="dxa" w:w="3437"/>
            <w:tcBorders>
              <w:top w:val="single" w:sz="8"/>
              <w:bottom w:val="nil" w:sz="0"/>
              <w:left w:val="nil"/>
              <w:right w:val="nil"/>
            </w:tcBorders>
          </w:tcPr>
          <w:p>
            <w:pPr>
              <w:spacing w:before="20" w:after="20"/>
              <w:jc w:val="center"/>
            </w:pPr>
            <w:r>
              <w:rPr>
                <w:rFonts w:ascii="Times New Roman" w:hAnsi="Times New Roman"/>
                <w:b w:val="0"/>
                <w:i w:val="0"/>
                <w:sz w:val="16"/>
              </w:rPr>
              <w:t xml:space="preserve">MAE 3.71, </w:t>
            </w:r>
            <w:r>
              <w:rPr>
                <w:rFonts w:ascii="Times New Roman" w:hAnsi="Times New Roman"/>
                <w:b w:val="0"/>
                <w:i w:val="0"/>
                <w:sz w:val="16"/>
              </w:rPr>
              <w:t>r</w:t>
            </w:r>
            <w:r>
              <w:rPr>
                <w:rFonts w:ascii="Times New Roman" w:hAnsi="Times New Roman"/>
                <w:b w:val="0"/>
                <w:i w:val="0"/>
                <w:sz w:val="16"/>
              </w:rPr>
              <w:t xml:space="preserve"> 0.966</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Fair by sex</w:t>
            </w:r>
          </w:p>
        </w:tc>
        <w:tc>
          <w:tcPr>
            <w:tcW w:type="dxa" w:w="3437"/>
            <w:tcBorders>
              <w:top w:val="nil" w:sz="0"/>
              <w:bottom w:val="nil" w:sz="0"/>
              <w:left w:val="nil"/>
              <w:right w:val="nil"/>
            </w:tcBorders>
          </w:tcPr>
          <w:p>
            <w:pPr>
              <w:spacing w:before="20" w:after="20"/>
              <w:jc w:val="center"/>
            </w:pPr>
            <w:r>
              <w:rPr>
                <w:rFonts w:ascii="Times New Roman" w:hAnsi="Times New Roman"/>
                <w:b/>
                <w:i w:val="0"/>
                <w:color w:val="0F7A3A"/>
                <w:sz w:val="16"/>
              </w:rPr>
              <w:t>PASS</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−0.59</w:t>
            </w:r>
            <w:r>
              <w:rPr>
                <w:rFonts w:ascii="Times New Roman" w:hAnsi="Times New Roman"/>
                <w:b w:val="0"/>
                <w:i w:val="0"/>
                <w:sz w:val="16"/>
              </w:rPr>
              <w:t xml:space="preserve"> yrs, CI spans 0</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Fair by site</w:t>
            </w:r>
          </w:p>
        </w:tc>
        <w:tc>
          <w:tcPr>
            <w:tcW w:type="dxa" w:w="3437"/>
            <w:tcBorders>
              <w:top w:val="nil" w:sz="0"/>
              <w:bottom w:val="nil" w:sz="0"/>
              <w:left w:val="nil"/>
              <w:right w:val="nil"/>
            </w:tcBorders>
          </w:tcPr>
          <w:p>
            <w:pPr>
              <w:spacing w:before="20" w:after="20"/>
              <w:jc w:val="center"/>
            </w:pPr>
            <w:r>
              <w:rPr>
                <w:rFonts w:ascii="Times New Roman" w:hAnsi="Times New Roman"/>
                <w:b/>
                <w:i w:val="0"/>
                <w:color w:val="B42318"/>
                <w:sz w:val="16"/>
              </w:rPr>
              <w:t>FAIL</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 xml:space="preserve">IOP </w:t>
            </w:r>
            <w:r>
              <w:rPr>
                <w:rFonts w:ascii="Times New Roman" w:hAnsi="Times New Roman"/>
                <w:b w:val="0"/>
                <w:i w:val="0"/>
                <w:sz w:val="16"/>
              </w:rPr>
              <w:t>−5.06</w:t>
            </w:r>
            <w:r>
              <w:rPr>
                <w:rFonts w:ascii="Times New Roman" w:hAnsi="Times New Roman"/>
                <w:b w:val="0"/>
                <w:i w:val="0"/>
                <w:sz w:val="16"/>
              </w:rPr>
              <w:t xml:space="preserve"> yrs, replicated</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Scanner invariance</w:t>
            </w:r>
          </w:p>
        </w:tc>
        <w:tc>
          <w:tcPr>
            <w:tcW w:type="dxa" w:w="3437"/>
            <w:tcBorders>
              <w:top w:val="nil" w:sz="0"/>
              <w:bottom w:val="nil" w:sz="0"/>
              <w:left w:val="nil"/>
              <w:right w:val="nil"/>
            </w:tcBorders>
          </w:tcPr>
          <w:p>
            <w:pPr>
              <w:spacing w:before="20" w:after="20"/>
              <w:jc w:val="center"/>
            </w:pPr>
            <w:r>
              <w:rPr>
                <w:rFonts w:ascii="Times New Roman" w:hAnsi="Times New Roman"/>
                <w:b/>
                <w:i w:val="0"/>
                <w:color w:val="B42318"/>
                <w:sz w:val="16"/>
              </w:rPr>
              <w:t>FAIL</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site probe 91%; look shifts 3–4 yrs</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Faithful explanations</w:t>
            </w:r>
          </w:p>
        </w:tc>
        <w:tc>
          <w:tcPr>
            <w:tcW w:type="dxa" w:w="3437"/>
            <w:tcBorders>
              <w:top w:val="nil" w:sz="0"/>
              <w:bottom w:val="nil" w:sz="0"/>
              <w:left w:val="nil"/>
              <w:right w:val="nil"/>
            </w:tcBorders>
          </w:tcPr>
          <w:p>
            <w:pPr>
              <w:spacing w:before="20" w:after="20"/>
              <w:jc w:val="center"/>
            </w:pPr>
            <w:r>
              <w:rPr>
                <w:rFonts w:ascii="Times New Roman" w:hAnsi="Times New Roman"/>
                <w:b/>
                <w:i w:val="0"/>
                <w:color w:val="0F7A3A"/>
                <w:sz w:val="16"/>
              </w:rPr>
              <w:t>PASS</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ρ</w:t>
            </w:r>
            <w:r>
              <w:rPr>
                <w:rFonts w:ascii="Times New Roman" w:hAnsi="Times New Roman"/>
                <w:b w:val="0"/>
                <w:i w:val="0"/>
                <w:sz w:val="16"/>
              </w:rPr>
              <w:t xml:space="preserve"> 0.13; deletion 4.83 vs 1.04</w:t>
            </w:r>
          </w:p>
        </w:tc>
      </w:tr>
      <w:tr>
        <w:tc>
          <w:tcPr>
            <w:tcW w:type="dxa" w:w="3437"/>
            <w:tcBorders>
              <w:top w:val="nil" w:sz="0"/>
              <w:bottom w:val="single" w:sz="8"/>
              <w:left w:val="nil"/>
              <w:right w:val="nil"/>
            </w:tcBorders>
          </w:tcPr>
          <w:p>
            <w:pPr>
              <w:spacing w:before="20" w:after="20"/>
              <w:jc w:val="left"/>
            </w:pPr>
            <w:r>
              <w:rPr>
                <w:rFonts w:ascii="Times New Roman" w:hAnsi="Times New Roman"/>
                <w:b w:val="0"/>
                <w:i w:val="0"/>
                <w:sz w:val="16"/>
              </w:rPr>
              <w:t>Honest uncertainty</w:t>
            </w:r>
          </w:p>
        </w:tc>
        <w:tc>
          <w:tcPr>
            <w:tcW w:type="dxa" w:w="3437"/>
            <w:tcBorders>
              <w:top w:val="nil" w:sz="0"/>
              <w:bottom w:val="single" w:sz="8"/>
              <w:left w:val="nil"/>
              <w:right w:val="nil"/>
            </w:tcBorders>
          </w:tcPr>
          <w:p>
            <w:pPr>
              <w:spacing w:before="20" w:after="20"/>
              <w:jc w:val="center"/>
            </w:pPr>
            <w:r>
              <w:rPr>
                <w:rFonts w:ascii="Times New Roman" w:hAnsi="Times New Roman"/>
                <w:b/>
                <w:i w:val="0"/>
                <w:color w:val="0F7A3A"/>
                <w:sz w:val="16"/>
              </w:rPr>
              <w:t>PASS</w:t>
            </w:r>
          </w:p>
        </w:tc>
        <w:tc>
          <w:tcPr>
            <w:tcW w:type="dxa" w:w="3437"/>
            <w:tcBorders>
              <w:top w:val="nil" w:sz="0"/>
              <w:bottom w:val="single" w:sz="8"/>
              <w:left w:val="nil"/>
              <w:right w:val="nil"/>
            </w:tcBorders>
          </w:tcPr>
          <w:p>
            <w:pPr>
              <w:spacing w:before="20" w:after="20"/>
              <w:jc w:val="center"/>
            </w:pPr>
            <w:r>
              <w:rPr>
                <w:rFonts w:ascii="Times New Roman" w:hAnsi="Times New Roman"/>
                <w:b w:val="0"/>
                <w:i w:val="0"/>
                <w:sz w:val="16"/>
              </w:rPr>
              <w:t>doubles when unseen; 92% coverage</w:t>
            </w:r>
          </w:p>
        </w:tc>
      </w:tr>
    </w:tbl>
    <w:p>
      <w:pPr>
        <w:keepNext w:val="0"/>
        <w:spacing w:before="0" w:after="0" w:line="240" w:lineRule="auto"/>
        <w:ind w:firstLine="245"/>
        <w:jc w:val="both"/>
      </w:pPr>
    </w:p>
    <w:p>
      <w:pPr>
        <w:keepNext/>
        <w:spacing w:before="160" w:after="80" w:line="240" w:lineRule="auto"/>
        <w:jc w:val="center"/>
      </w:pPr>
      <w:r>
        <w:rPr>
          <w:rFonts w:ascii="Times New Roman" w:hAnsi="Times New Roman"/>
          <w:b w:val="0"/>
          <w:i w:val="0"/>
          <w:sz w:val="19"/>
        </w:rPr>
        <w:t>VI. DISCUSSION</w:t>
      </w:r>
    </w:p>
    <w:p>
      <w:pPr>
        <w:keepNext w:val="0"/>
        <w:spacing w:before="0" w:after="40" w:line="240" w:lineRule="auto"/>
        <w:ind w:firstLine="245"/>
        <w:jc w:val="both"/>
      </w:pPr>
      <w:r>
        <w:rPr>
          <w:rFonts w:ascii="Times New Roman" w:hAnsi="Times New Roman"/>
          <w:b/>
          <w:i w:val="0"/>
          <w:sz w:val="20"/>
        </w:rPr>
        <w:t>Accurate and fair across sex.</w:t>
      </w:r>
      <w:r>
        <w:rPr>
          <w:rFonts w:ascii="Times New Roman" w:hAnsi="Times New Roman"/>
          <w:b w:val="0"/>
          <w:i w:val="0"/>
          <w:sz w:val="20"/>
        </w:rPr>
        <w:t xml:space="preserve"> The fine-tuned SFCN predicts age on IXI with an error under 4 years, and we found no sex difference in BAG, error or attribution.</w:t>
      </w:r>
    </w:p>
    <w:p>
      <w:pPr>
        <w:keepNext w:val="0"/>
        <w:spacing w:before="0" w:after="40" w:line="240" w:lineRule="auto"/>
        <w:ind w:firstLine="245"/>
        <w:jc w:val="both"/>
      </w:pPr>
      <w:r>
        <w:rPr>
          <w:rFonts w:ascii="Times New Roman" w:hAnsi="Times New Roman"/>
          <w:b/>
          <w:i w:val="0"/>
          <w:sz w:val="20"/>
        </w:rPr>
        <w:t>A robust acquisition-site effect.</w:t>
      </w:r>
      <w:r>
        <w:rPr>
          <w:rFonts w:ascii="Times New Roman" w:hAnsi="Times New Roman"/>
          <w:b w:val="0"/>
          <w:i w:val="0"/>
          <w:sz w:val="20"/>
        </w:rPr>
        <w:t xml:space="preserve"> IOP stands out in every analysis: its BAG is about 5 years lower in two independent splits, it is the only site a model cannot generalise to unseen, it is the most distinct site in the representation, and the model is most uncertain about it. These are acquisition-site effects in the descriptive sense; because site is confounded with each site's recruited population in IXI, this design cannot attribute them to the scanner rather than the cohort.</w:t>
      </w:r>
    </w:p>
    <w:p>
      <w:pPr>
        <w:keepNext w:val="0"/>
        <w:spacing w:before="0" w:after="40" w:line="240" w:lineRule="auto"/>
        <w:ind w:firstLine="245"/>
        <w:jc w:val="both"/>
      </w:pPr>
      <w:r>
        <w:rPr>
          <w:rFonts w:ascii="Times New Roman" w:hAnsi="Times New Roman"/>
          <w:b/>
          <w:i w:val="0"/>
          <w:sz w:val="20"/>
        </w:rPr>
        <w:t>Partly right for the wrong reasons.</w:t>
      </w:r>
      <w:r>
        <w:rPr>
          <w:rFonts w:ascii="Times New Roman" w:hAnsi="Times New Roman"/>
          <w:b w:val="0"/>
          <w:i w:val="0"/>
          <w:sz w:val="20"/>
        </w:rPr>
        <w:t xml:space="preserve"> The representation identifies the site at 91% accuracy even after removing age and sex and before fine-tuning, and the prediction moves by 3–4 years when only a scan's intensity appearance changes. The model is therefore not acquisition-invariant: an unchanged brain could receive a different brain age on a different scanner, which matters for any comparison of BAG across sites.</w:t>
      </w:r>
    </w:p>
    <w:p>
      <w:pPr>
        <w:keepNext w:val="0"/>
        <w:spacing w:before="0" w:after="40" w:line="240" w:lineRule="auto"/>
        <w:ind w:firstLine="245"/>
        <w:jc w:val="both"/>
      </w:pPr>
      <w:r>
        <w:rPr>
          <w:rFonts w:ascii="Times New Roman" w:hAnsi="Times New Roman"/>
          <w:b/>
          <w:i w:val="0"/>
          <w:sz w:val="20"/>
        </w:rPr>
        <w:t>But the IOP offset is not a simple scanner artefact.</w:t>
      </w:r>
      <w:r>
        <w:rPr>
          <w:rFonts w:ascii="Times New Roman" w:hAnsi="Times New Roman"/>
          <w:b w:val="0"/>
          <w:i w:val="0"/>
          <w:sz w:val="20"/>
        </w:rPr>
        <w:t xml:space="preserve"> The obvious acquisition explanations fail at IOP's measured levels: the global intensity profile accounts for about 1 year, matched smoothness for none, and removing the site signature leaves most of the offset. Combined with the offset appearing only for new IOP individuals, this points either to acquisition properties not modelled here (e.g., the spatial pattern of tissue contrast or vendor-specific reconstruction) or to genuine cohort differences. Two methodological lessons follow: an intensity reference that is not standardised for recruitment age overstated the intensity effect, and a harmonisation method that erases a site signature need not remove a site disparity. Reporting a site disparity as “scanner bias” without such tests would have been wrong here.</w:t>
      </w:r>
    </w:p>
    <w:p>
      <w:pPr>
        <w:keepNext w:val="0"/>
        <w:spacing w:before="0" w:after="40" w:line="240" w:lineRule="auto"/>
        <w:ind w:firstLine="245"/>
        <w:jc w:val="both"/>
      </w:pPr>
      <w:r>
        <w:rPr>
          <w:rFonts w:ascii="Times New Roman" w:hAnsi="Times New Roman"/>
          <w:b/>
          <w:i w:val="0"/>
          <w:sz w:val="20"/>
        </w:rPr>
        <w:t>The model flags the problem itself.</w:t>
      </w:r>
      <w:r>
        <w:rPr>
          <w:rFonts w:ascii="Times New Roman" w:hAnsi="Times New Roman"/>
          <w:b w:val="0"/>
          <w:i w:val="0"/>
          <w:sz w:val="20"/>
        </w:rPr>
        <w:t xml:space="preserve"> Elevated group-level uncertainty on a new site, with near-nominal coverage, could serve as a warning that BAGs there should not be compared directly with other sites.</w:t>
      </w:r>
    </w:p>
    <w:p>
      <w:pPr>
        <w:keepNext w:val="0"/>
        <w:spacing w:before="0" w:after="40" w:line="240" w:lineRule="auto"/>
        <w:ind w:firstLine="245"/>
        <w:jc w:val="both"/>
      </w:pPr>
      <w:r>
        <w:rPr>
          <w:rFonts w:ascii="Times New Roman" w:hAnsi="Times New Roman"/>
          <w:b/>
          <w:i w:val="0"/>
          <w:sz w:val="20"/>
        </w:rPr>
        <w:t>Limitations.</w:t>
      </w:r>
      <w:r>
        <w:rPr>
          <w:rFonts w:ascii="Times New Roman" w:hAnsi="Times New Roman"/>
          <w:b w:val="0"/>
          <w:i w:val="0"/>
          <w:sz w:val="20"/>
        </w:rPr>
        <w:t xml:space="preserve"> Subgroups are small (9 IOP test and 18 held-out subjects), although the offset replicated across splits. We used a single seed and split, so CIs reflect subject sampling, not training randomness. Site is confounded with cohort in IXI. Quantile matching changes only the global intensity distribution, and Gaussian blur did not reproduce IOP's full sharpness profile. ComBat was applied to pooled features without retraining the head; image-level harmonisation or adversarial training </w:t>
      </w:r>
      <w:r>
        <w:rPr>
          <w:rFonts w:ascii="Times New Roman" w:hAnsi="Times New Roman"/>
          <w:b w:val="0"/>
          <w:i w:val="0"/>
          <w:sz w:val="20"/>
        </w:rPr>
        <w:t>[16]</w:t>
      </w:r>
      <w:r>
        <w:rPr>
          <w:rFonts w:ascii="Times New Roman" w:hAnsi="Times New Roman"/>
          <w:b w:val="0"/>
          <w:i w:val="0"/>
          <w:sz w:val="20"/>
        </w:rPr>
        <w:t xml:space="preserve"> may behave differently. The attribution resolution is 8 mm, and deletion tests are themselves affected by distribution shift. The uncertainty is the softmax spread of a soft-label model, not a calibrated interval </w:t>
      </w:r>
      <w:r>
        <w:rPr>
          <w:rFonts w:ascii="Times New Roman" w:hAnsi="Times New Roman"/>
          <w:b w:val="0"/>
          <w:i w:val="0"/>
          <w:sz w:val="20"/>
        </w:rPr>
        <w:t>[31]</w:t>
      </w:r>
      <w:r>
        <w:rPr>
          <w:rFonts w:ascii="Times New Roman" w:hAnsi="Times New Roman"/>
          <w:b w:val="0"/>
          <w:i w:val="0"/>
          <w:sz w:val="20"/>
        </w:rPr>
        <w:t>. Participants are healthy volunteers, and no clinical conclusion follows.</w:t>
      </w:r>
    </w:p>
    <w:p>
      <w:pPr>
        <w:keepNext w:val="0"/>
        <w:spacing w:before="0" w:after="40" w:line="240" w:lineRule="auto"/>
        <w:ind w:firstLine="245"/>
        <w:jc w:val="both"/>
      </w:pPr>
      <w:r>
        <w:rPr>
          <w:rFonts w:ascii="Times New Roman" w:hAnsi="Times New Roman"/>
          <w:b/>
          <w:i w:val="0"/>
          <w:sz w:val="20"/>
        </w:rPr>
        <w:t>Future work.</w:t>
      </w:r>
      <w:r>
        <w:rPr>
          <w:rFonts w:ascii="Times New Roman" w:hAnsi="Times New Roman"/>
          <w:b w:val="0"/>
          <w:i w:val="0"/>
          <w:sz w:val="20"/>
        </w:rPr>
        <w:t xml:space="preserve"> Travelling-subject data (the same people scanned at several sites) would separate scanner from cohort; further directions are site-adversarial fine-tuning, multiple seeds and splits, and extending the passport to other datasets and models.</w:t>
      </w:r>
    </w:p>
    <w:p>
      <w:pPr>
        <w:keepNext/>
        <w:spacing w:before="160" w:after="80" w:line="240" w:lineRule="auto"/>
        <w:jc w:val="center"/>
      </w:pPr>
      <w:r>
        <w:rPr>
          <w:rFonts w:ascii="Times New Roman" w:hAnsi="Times New Roman"/>
          <w:b w:val="0"/>
          <w:i w:val="0"/>
          <w:sz w:val="19"/>
        </w:rPr>
        <w:t>VII. CONCLUSION</w:t>
      </w:r>
    </w:p>
    <w:p>
      <w:pPr>
        <w:keepNext w:val="0"/>
        <w:spacing w:before="0" w:after="40" w:line="240" w:lineRule="auto"/>
        <w:ind w:firstLine="245"/>
        <w:jc w:val="both"/>
      </w:pPr>
      <w:r>
        <w:rPr>
          <w:rFonts w:ascii="Times New Roman" w:hAnsi="Times New Roman"/>
          <w:b w:val="0"/>
          <w:i w:val="0"/>
          <w:sz w:val="20"/>
        </w:rPr>
        <w:t>A fine-tuned SFCN brain-age model is accurate on IXI and shows no sex disparity, but it is not acquisition-invariant: it carries a strong site signature, its predictions shift with acquisition appearance alone, and one site shows a robust 5-year offset and poor generalisation when unseen. That offset is not explained by intensity, smoothness or the representation's site signature, and its cause cannot be determined from IXI. Its explanations are faithful and its uncertainty rises where it is least reliable. Auditing beyond accuracy changed the answer to “is this model good?”: it is accurate, but its brain-age gaps should not be compared across acquisition sites without site-aware validation.</w:t>
      </w:r>
    </w:p>
    <w:p>
      <w:pPr>
        <w:keepNext/>
        <w:spacing w:before="160" w:after="80" w:line="240" w:lineRule="auto"/>
        <w:jc w:val="center"/>
      </w:pPr>
      <w:r>
        <w:rPr>
          <w:rFonts w:ascii="Times New Roman" w:hAnsi="Times New Roman"/>
          <w:b w:val="0"/>
          <w:i w:val="0"/>
          <w:sz w:val="19"/>
        </w:rPr>
        <w:t>CODE AND DATA AVAILABILITY</w:t>
      </w:r>
    </w:p>
    <w:p>
      <w:pPr>
        <w:keepNext w:val="0"/>
        <w:spacing w:before="0" w:after="40" w:line="240" w:lineRule="auto"/>
        <w:ind w:firstLine="245"/>
        <w:jc w:val="both"/>
      </w:pPr>
      <w:r>
        <w:rPr>
          <w:rFonts w:ascii="Times New Roman" w:hAnsi="Times New Roman"/>
          <w:b w:val="0"/>
          <w:i w:val="0"/>
          <w:sz w:val="20"/>
        </w:rPr>
        <w:t xml:space="preserve">All code, including preprocessing, training, every analysis, an interactive results website, a live browser demo and the fairness passport, is available at </w:t>
      </w:r>
      <w:r>
        <w:rPr>
          <w:rFonts w:ascii="Consolas" w:hAnsi="Consolas"/>
          <w:b w:val="0"/>
          <w:i w:val="0"/>
          <w:sz w:val="20"/>
        </w:rPr>
        <w:t>https://github.com/Jaaiwanth/brain-age-fairness-xai</w:t>
      </w:r>
      <w:r>
        <w:rPr>
          <w:rFonts w:ascii="Times New Roman" w:hAnsi="Times New Roman"/>
          <w:b w:val="0"/>
          <w:i w:val="0"/>
          <w:sz w:val="20"/>
        </w:rPr>
        <w:t xml:space="preserve">. IXI is publicly available under CC BY-SA 3.0 </w:t>
      </w:r>
      <w:r>
        <w:rPr>
          <w:rFonts w:ascii="Times New Roman" w:hAnsi="Times New Roman"/>
          <w:b w:val="0"/>
          <w:i w:val="0"/>
          <w:sz w:val="20"/>
        </w:rPr>
        <w:t>[32]</w:t>
      </w:r>
      <w:r>
        <w:rPr>
          <w:rFonts w:ascii="Times New Roman" w:hAnsi="Times New Roman"/>
          <w:b w:val="0"/>
          <w:i w:val="0"/>
          <w:sz w:val="20"/>
        </w:rPr>
        <w:t>.</w:t>
      </w:r>
    </w:p>
    <w:p>
      <w:pPr>
        <w:keepNext/>
        <w:spacing w:before="160" w:after="80" w:line="240" w:lineRule="auto"/>
        <w:jc w:val="center"/>
      </w:pPr>
      <w:r>
        <w:rPr>
          <w:rFonts w:ascii="Times New Roman" w:hAnsi="Times New Roman"/>
          <w:b w:val="0"/>
          <w:i w:val="0"/>
          <w:sz w:val="19"/>
        </w:rPr>
        <w:t>AUTHOR CONTRIBUTIONS</w:t>
      </w:r>
    </w:p>
    <w:p>
      <w:pPr>
        <w:keepNext w:val="0"/>
        <w:spacing w:before="0" w:after="40" w:line="240" w:lineRule="auto"/>
        <w:ind w:firstLine="245"/>
        <w:jc w:val="both"/>
      </w:pPr>
      <w:r>
        <w:rPr>
          <w:rFonts w:ascii="Times New Roman" w:hAnsi="Times New Roman"/>
          <w:b w:val="0"/>
          <w:i w:val="0"/>
          <w:sz w:val="20"/>
        </w:rPr>
        <w:t>Adharshan N and Jaaiwanth K contributed equally. Both authors jointly designed the study, built and verified the corrected labels, developed the preprocessing and fine-tuning pipelines (including the independent SFCN and DeepBrainNet replication), performed the fairness, attribution, shortcut and uncertainty analyses, built the website, demo and passport, and wrote the manuscript. Shridevi S supervised the project and reviewed the manuscript.</w:t>
      </w:r>
    </w:p>
    <w:p>
      <w:pPr>
        <w:keepNext/>
        <w:spacing w:before="160" w:after="80" w:line="240" w:lineRule="auto"/>
        <w:jc w:val="center"/>
      </w:pPr>
      <w:r>
        <w:rPr>
          <w:rFonts w:ascii="Times New Roman" w:hAnsi="Times New Roman"/>
          <w:b w:val="0"/>
          <w:i w:val="0"/>
          <w:sz w:val="19"/>
        </w:rPr>
        <w:t>ACKNOWLEDGMENT</w:t>
      </w:r>
    </w:p>
    <w:p>
      <w:pPr>
        <w:keepNext w:val="0"/>
        <w:spacing w:before="0" w:after="40" w:line="240" w:lineRule="auto"/>
        <w:ind w:firstLine="245"/>
        <w:jc w:val="both"/>
      </w:pPr>
      <w:r>
        <w:rPr>
          <w:rFonts w:ascii="Times New Roman" w:hAnsi="Times New Roman"/>
          <w:b w:val="0"/>
          <w:i w:val="0"/>
          <w:sz w:val="20"/>
        </w:rPr>
        <w:t>We thank the IXI project for making the data publicly available, and the authors of SFCN for releasing their pretrained weights.</w:t>
      </w:r>
    </w:p>
    <w:p>
      <w:pPr>
        <w:keepNext/>
        <w:spacing w:before="160" w:after="80" w:line="240" w:lineRule="auto"/>
        <w:jc w:val="center"/>
      </w:pPr>
      <w:r>
        <w:rPr>
          <w:rFonts w:ascii="Times New Roman" w:hAnsi="Times New Roman"/>
          <w:b w:val="0"/>
          <w:i w:val="0"/>
          <w:sz w:val="19"/>
        </w:rPr>
        <w:t>REFERENCES</w:t>
      </w:r>
    </w:p>
    <w:p>
      <w:pPr>
        <w:keepNext w:val="0"/>
        <w:tabs>
          <w:tab w:pos="432" w:val="left"/>
        </w:tabs>
        <w:spacing w:before="0" w:after="20" w:line="240" w:lineRule="auto"/>
        <w:ind w:left="432" w:hanging="432"/>
        <w:jc w:val="both"/>
      </w:pPr>
      <w:r>
        <w:rPr>
          <w:rFonts w:ascii="Times New Roman" w:hAnsi="Times New Roman"/>
          <w:b w:val="0"/>
          <w:i w:val="0"/>
          <w:sz w:val="16"/>
        </w:rPr>
        <w:t>[1]</w:t>
        <w:tab/>
      </w:r>
      <w:r>
        <w:rPr>
          <w:rFonts w:ascii="Times New Roman" w:hAnsi="Times New Roman"/>
          <w:b w:val="0"/>
          <w:i w:val="0"/>
          <w:sz w:val="16"/>
        </w:rPr>
        <w:t xml:space="preserve">J. H. Cole and K. Franke, “Predicting age using neuroimaging: innovative brain ageing biomarkers,” </w:t>
      </w:r>
      <w:r>
        <w:rPr>
          <w:rFonts w:ascii="Times New Roman" w:hAnsi="Times New Roman"/>
          <w:b w:val="0"/>
          <w:i/>
          <w:sz w:val="16"/>
        </w:rPr>
        <w:t>Trends in Neurosciences</w:t>
      </w:r>
      <w:r>
        <w:rPr>
          <w:rFonts w:ascii="Times New Roman" w:hAnsi="Times New Roman"/>
          <w:b w:val="0"/>
          <w:i w:val="0"/>
          <w:sz w:val="16"/>
        </w:rPr>
        <w:t>, vol. 40, no. 12, pp. 681–690, 2017.</w:t>
      </w:r>
    </w:p>
    <w:p>
      <w:pPr>
        <w:keepNext w:val="0"/>
        <w:tabs>
          <w:tab w:pos="432" w:val="left"/>
        </w:tabs>
        <w:spacing w:before="0" w:after="20" w:line="240" w:lineRule="auto"/>
        <w:ind w:left="432" w:hanging="432"/>
        <w:jc w:val="both"/>
      </w:pPr>
      <w:r>
        <w:rPr>
          <w:rFonts w:ascii="Times New Roman" w:hAnsi="Times New Roman"/>
          <w:b w:val="0"/>
          <w:i w:val="0"/>
          <w:sz w:val="16"/>
        </w:rPr>
        <w:t>[2]</w:t>
        <w:tab/>
      </w:r>
      <w:r>
        <w:rPr>
          <w:rFonts w:ascii="Times New Roman" w:hAnsi="Times New Roman"/>
          <w:b w:val="0"/>
          <w:i w:val="0"/>
          <w:sz w:val="16"/>
        </w:rPr>
        <w:t xml:space="preserve">K. Franke and C. Gaser, “Ten years of BrainAGE as a neuroimaging biomarker of brain aging: what insights have we gained?,” </w:t>
      </w:r>
      <w:r>
        <w:rPr>
          <w:rFonts w:ascii="Times New Roman" w:hAnsi="Times New Roman"/>
          <w:b w:val="0"/>
          <w:i/>
          <w:sz w:val="16"/>
        </w:rPr>
        <w:t>Frontiers in Neurology</w:t>
      </w:r>
      <w:r>
        <w:rPr>
          <w:rFonts w:ascii="Times New Roman" w:hAnsi="Times New Roman"/>
          <w:b w:val="0"/>
          <w:i w:val="0"/>
          <w:sz w:val="16"/>
        </w:rPr>
        <w:t>, vol. 10, Art. no. 789, 2019.</w:t>
      </w:r>
    </w:p>
    <w:p>
      <w:pPr>
        <w:keepNext w:val="0"/>
        <w:tabs>
          <w:tab w:pos="432" w:val="left"/>
        </w:tabs>
        <w:spacing w:before="0" w:after="20" w:line="240" w:lineRule="auto"/>
        <w:ind w:left="432" w:hanging="432"/>
        <w:jc w:val="both"/>
      </w:pPr>
      <w:r>
        <w:rPr>
          <w:rFonts w:ascii="Times New Roman" w:hAnsi="Times New Roman"/>
          <w:b w:val="0"/>
          <w:i w:val="0"/>
          <w:sz w:val="16"/>
        </w:rPr>
        <w:t>[3]</w:t>
        <w:tab/>
      </w:r>
      <w:r>
        <w:rPr>
          <w:rFonts w:ascii="Times New Roman" w:hAnsi="Times New Roman"/>
          <w:b w:val="0"/>
          <w:i w:val="0"/>
          <w:sz w:val="16"/>
        </w:rPr>
        <w:t xml:space="preserve">J. H. Cole, S. J. Ritchie, M. E. Bastin et al., “Brain age predicts mortality,” </w:t>
      </w:r>
      <w:r>
        <w:rPr>
          <w:rFonts w:ascii="Times New Roman" w:hAnsi="Times New Roman"/>
          <w:b w:val="0"/>
          <w:i/>
          <w:sz w:val="16"/>
        </w:rPr>
        <w:t>Molecular Psychiatry</w:t>
      </w:r>
      <w:r>
        <w:rPr>
          <w:rFonts w:ascii="Times New Roman" w:hAnsi="Times New Roman"/>
          <w:b w:val="0"/>
          <w:i w:val="0"/>
          <w:sz w:val="16"/>
        </w:rPr>
        <w:t>, vol. 23, pp. 1385–1392, 2018.</w:t>
      </w:r>
    </w:p>
    <w:p>
      <w:pPr>
        <w:keepNext w:val="0"/>
        <w:tabs>
          <w:tab w:pos="432" w:val="left"/>
        </w:tabs>
        <w:spacing w:before="0" w:after="20" w:line="240" w:lineRule="auto"/>
        <w:ind w:left="432" w:hanging="432"/>
        <w:jc w:val="both"/>
      </w:pPr>
      <w:r>
        <w:rPr>
          <w:rFonts w:ascii="Times New Roman" w:hAnsi="Times New Roman"/>
          <w:b w:val="0"/>
          <w:i w:val="0"/>
          <w:sz w:val="16"/>
        </w:rPr>
        <w:t>[4]</w:t>
        <w:tab/>
      </w:r>
      <w:r>
        <w:rPr>
          <w:rFonts w:ascii="Times New Roman" w:hAnsi="Times New Roman"/>
          <w:b w:val="0"/>
          <w:i w:val="0"/>
          <w:sz w:val="16"/>
        </w:rPr>
        <w:t xml:space="preserve">J. H. Cole, R. P. K. Poudel, D. Tsagkrasoulis et al., “Predicting brain age with deep learning from raw imaging data results in a reliable and heritable biomarker,” </w:t>
      </w:r>
      <w:r>
        <w:rPr>
          <w:rFonts w:ascii="Times New Roman" w:hAnsi="Times New Roman"/>
          <w:b w:val="0"/>
          <w:i/>
          <w:sz w:val="16"/>
        </w:rPr>
        <w:t>NeuroImage</w:t>
      </w:r>
      <w:r>
        <w:rPr>
          <w:rFonts w:ascii="Times New Roman" w:hAnsi="Times New Roman"/>
          <w:b w:val="0"/>
          <w:i w:val="0"/>
          <w:sz w:val="16"/>
        </w:rPr>
        <w:t>, vol. 163, pp. 115–124, 2017.</w:t>
      </w:r>
    </w:p>
    <w:p>
      <w:pPr>
        <w:keepNext w:val="0"/>
        <w:tabs>
          <w:tab w:pos="432" w:val="left"/>
        </w:tabs>
        <w:spacing w:before="0" w:after="20" w:line="240" w:lineRule="auto"/>
        <w:ind w:left="432" w:hanging="432"/>
        <w:jc w:val="both"/>
      </w:pPr>
      <w:r>
        <w:rPr>
          <w:rFonts w:ascii="Times New Roman" w:hAnsi="Times New Roman"/>
          <w:b w:val="0"/>
          <w:i w:val="0"/>
          <w:sz w:val="16"/>
        </w:rPr>
        <w:t>[5]</w:t>
        <w:tab/>
      </w:r>
      <w:r>
        <w:rPr>
          <w:rFonts w:ascii="Times New Roman" w:hAnsi="Times New Roman"/>
          <w:b w:val="0"/>
          <w:i w:val="0"/>
          <w:sz w:val="16"/>
        </w:rPr>
        <w:t xml:space="preserve">H. Peng, W. Gong, C. F. Beckmann, A. Vedaldi, and S. M. Smith, “Accurate brain age prediction with lightweight deep neural networks,” </w:t>
      </w:r>
      <w:r>
        <w:rPr>
          <w:rFonts w:ascii="Times New Roman" w:hAnsi="Times New Roman"/>
          <w:b w:val="0"/>
          <w:i/>
          <w:sz w:val="16"/>
        </w:rPr>
        <w:t>Medical Image Analysis</w:t>
      </w:r>
      <w:r>
        <w:rPr>
          <w:rFonts w:ascii="Times New Roman" w:hAnsi="Times New Roman"/>
          <w:b w:val="0"/>
          <w:i w:val="0"/>
          <w:sz w:val="16"/>
        </w:rPr>
        <w:t>, vol. 68, Art. no. 101871, 2021.</w:t>
      </w:r>
    </w:p>
    <w:p>
      <w:pPr>
        <w:keepNext w:val="0"/>
        <w:tabs>
          <w:tab w:pos="432" w:val="left"/>
        </w:tabs>
        <w:spacing w:before="0" w:after="20" w:line="240" w:lineRule="auto"/>
        <w:ind w:left="432" w:hanging="432"/>
        <w:jc w:val="both"/>
      </w:pPr>
      <w:r>
        <w:rPr>
          <w:rFonts w:ascii="Times New Roman" w:hAnsi="Times New Roman"/>
          <w:b w:val="0"/>
          <w:i w:val="0"/>
          <w:sz w:val="16"/>
        </w:rPr>
        <w:t>[6]</w:t>
        <w:tab/>
      </w:r>
      <w:r>
        <w:rPr>
          <w:rFonts w:ascii="Times New Roman" w:hAnsi="Times New Roman"/>
          <w:b w:val="0"/>
          <w:i w:val="0"/>
          <w:sz w:val="16"/>
        </w:rPr>
        <w:t xml:space="preserve">V. M. Bashyam, G. Erus, J. Doshi et al., “MRI signatures of brain age and disease over the lifespan based on a deep brain network and 14 468 individuals worldwide,” </w:t>
      </w:r>
      <w:r>
        <w:rPr>
          <w:rFonts w:ascii="Times New Roman" w:hAnsi="Times New Roman"/>
          <w:b w:val="0"/>
          <w:i/>
          <w:sz w:val="16"/>
        </w:rPr>
        <w:t>Brain</w:t>
      </w:r>
      <w:r>
        <w:rPr>
          <w:rFonts w:ascii="Times New Roman" w:hAnsi="Times New Roman"/>
          <w:b w:val="0"/>
          <w:i w:val="0"/>
          <w:sz w:val="16"/>
        </w:rPr>
        <w:t>, vol. 143, no. 7, pp. 2312–2324, 2020.</w:t>
      </w:r>
    </w:p>
    <w:p>
      <w:pPr>
        <w:keepNext w:val="0"/>
        <w:tabs>
          <w:tab w:pos="432" w:val="left"/>
        </w:tabs>
        <w:spacing w:before="0" w:after="20" w:line="240" w:lineRule="auto"/>
        <w:ind w:left="432" w:hanging="432"/>
        <w:jc w:val="both"/>
      </w:pPr>
      <w:r>
        <w:rPr>
          <w:rFonts w:ascii="Times New Roman" w:hAnsi="Times New Roman"/>
          <w:b w:val="0"/>
          <w:i w:val="0"/>
          <w:sz w:val="16"/>
        </w:rPr>
        <w:t>[7]</w:t>
        <w:tab/>
      </w:r>
      <w:r>
        <w:rPr>
          <w:rFonts w:ascii="Times New Roman" w:hAnsi="Times New Roman"/>
          <w:b w:val="0"/>
          <w:i w:val="0"/>
          <w:sz w:val="16"/>
        </w:rPr>
        <w:t xml:space="preserve">A. J. Larrazabal, N. Nieto, V. Peterson, D. H. Milone, and E. Ferrante, “Gender imbalance in medical imaging datasets produces biased classifiers for computer-aided diagnosis,” </w:t>
      </w:r>
      <w:r>
        <w:rPr>
          <w:rFonts w:ascii="Times New Roman" w:hAnsi="Times New Roman"/>
          <w:b w:val="0"/>
          <w:i/>
          <w:sz w:val="16"/>
        </w:rPr>
        <w:t>Proceedings of the National Academy of Sciences</w:t>
      </w:r>
      <w:r>
        <w:rPr>
          <w:rFonts w:ascii="Times New Roman" w:hAnsi="Times New Roman"/>
          <w:b w:val="0"/>
          <w:i w:val="0"/>
          <w:sz w:val="16"/>
        </w:rPr>
        <w:t>, vol. 117, no. 23, pp. 12592–12594, 2020.</w:t>
      </w:r>
    </w:p>
    <w:p>
      <w:pPr>
        <w:keepNext w:val="0"/>
        <w:tabs>
          <w:tab w:pos="432" w:val="left"/>
        </w:tabs>
        <w:spacing w:before="0" w:after="20" w:line="240" w:lineRule="auto"/>
        <w:ind w:left="432" w:hanging="432"/>
        <w:jc w:val="both"/>
      </w:pPr>
      <w:r>
        <w:rPr>
          <w:rFonts w:ascii="Times New Roman" w:hAnsi="Times New Roman"/>
          <w:b w:val="0"/>
          <w:i w:val="0"/>
          <w:sz w:val="16"/>
        </w:rPr>
        <w:t>[8]</w:t>
        <w:tab/>
      </w:r>
      <w:r>
        <w:rPr>
          <w:rFonts w:ascii="Times New Roman" w:hAnsi="Times New Roman"/>
          <w:b w:val="0"/>
          <w:i w:val="0"/>
          <w:sz w:val="16"/>
        </w:rPr>
        <w:t xml:space="preserve">L. Seyyed-Kalantari, H. Zhang, M. B. A. McDermott, I. Y. Chen, and M. Ghassemi, “Underdiagnosis bias of artificial intelligence algorithms applied to chest radiographs in under-served patient populations,” </w:t>
      </w:r>
      <w:r>
        <w:rPr>
          <w:rFonts w:ascii="Times New Roman" w:hAnsi="Times New Roman"/>
          <w:b w:val="0"/>
          <w:i/>
          <w:sz w:val="16"/>
        </w:rPr>
        <w:t>Nature Medicine</w:t>
      </w:r>
      <w:r>
        <w:rPr>
          <w:rFonts w:ascii="Times New Roman" w:hAnsi="Times New Roman"/>
          <w:b w:val="0"/>
          <w:i w:val="0"/>
          <w:sz w:val="16"/>
        </w:rPr>
        <w:t>, vol. 27, pp. 2176–2182, 2021.</w:t>
      </w:r>
    </w:p>
    <w:p>
      <w:pPr>
        <w:keepNext w:val="0"/>
        <w:tabs>
          <w:tab w:pos="432" w:val="left"/>
        </w:tabs>
        <w:spacing w:before="0" w:after="20" w:line="240" w:lineRule="auto"/>
        <w:ind w:left="432" w:hanging="432"/>
        <w:jc w:val="both"/>
      </w:pPr>
      <w:r>
        <w:rPr>
          <w:rFonts w:ascii="Times New Roman" w:hAnsi="Times New Roman"/>
          <w:b w:val="0"/>
          <w:i w:val="0"/>
          <w:sz w:val="16"/>
        </w:rPr>
        <w:t>[9]</w:t>
        <w:tab/>
      </w:r>
      <w:r>
        <w:rPr>
          <w:rFonts w:ascii="Times New Roman" w:hAnsi="Times New Roman"/>
          <w:b w:val="0"/>
          <w:i w:val="0"/>
          <w:sz w:val="16"/>
        </w:rPr>
        <w:t xml:space="preserve">M. A. Ricci Lara, R. Echeveste, and E. Ferrante, “Addressing fairness in artificial intelligence for medical imaging,” </w:t>
      </w:r>
      <w:r>
        <w:rPr>
          <w:rFonts w:ascii="Times New Roman" w:hAnsi="Times New Roman"/>
          <w:b w:val="0"/>
          <w:i/>
          <w:sz w:val="16"/>
        </w:rPr>
        <w:t>Nature Communications</w:t>
      </w:r>
      <w:r>
        <w:rPr>
          <w:rFonts w:ascii="Times New Roman" w:hAnsi="Times New Roman"/>
          <w:b w:val="0"/>
          <w:i w:val="0"/>
          <w:sz w:val="16"/>
        </w:rPr>
        <w:t>, vol. 13, Art. no. 4581, 2022.</w:t>
      </w:r>
    </w:p>
    <w:p>
      <w:pPr>
        <w:keepNext w:val="0"/>
        <w:tabs>
          <w:tab w:pos="432" w:val="left"/>
        </w:tabs>
        <w:spacing w:before="0" w:after="20" w:line="240" w:lineRule="auto"/>
        <w:ind w:left="432" w:hanging="432"/>
        <w:jc w:val="both"/>
      </w:pPr>
      <w:r>
        <w:rPr>
          <w:rFonts w:ascii="Times New Roman" w:hAnsi="Times New Roman"/>
          <w:b w:val="0"/>
          <w:i w:val="0"/>
          <w:sz w:val="16"/>
        </w:rPr>
        <w:t>[10]</w:t>
        <w:tab/>
      </w:r>
      <w:r>
        <w:rPr>
          <w:rFonts w:ascii="Times New Roman" w:hAnsi="Times New Roman"/>
          <w:b w:val="0"/>
          <w:i w:val="0"/>
          <w:sz w:val="16"/>
        </w:rPr>
        <w:t xml:space="preserve">C. Piçarra and B. Glocker, “Analysing race and sex bias in brain age prediction,” </w:t>
      </w:r>
      <w:r>
        <w:rPr>
          <w:rFonts w:ascii="Times New Roman" w:hAnsi="Times New Roman"/>
          <w:b w:val="0"/>
          <w:i w:val="0"/>
          <w:sz w:val="16"/>
        </w:rPr>
        <w:t>arXiv preprint arXiv:2309.10835, 2023.</w:t>
      </w:r>
    </w:p>
    <w:p>
      <w:pPr>
        <w:keepNext w:val="0"/>
        <w:tabs>
          <w:tab w:pos="432" w:val="left"/>
        </w:tabs>
        <w:spacing w:before="0" w:after="20" w:line="240" w:lineRule="auto"/>
        <w:ind w:left="432" w:hanging="432"/>
        <w:jc w:val="both"/>
      </w:pPr>
      <w:r>
        <w:rPr>
          <w:rFonts w:ascii="Times New Roman" w:hAnsi="Times New Roman"/>
          <w:b w:val="0"/>
          <w:i w:val="0"/>
          <w:sz w:val="16"/>
        </w:rPr>
        <w:t>[11]</w:t>
        <w:tab/>
      </w:r>
      <w:r>
        <w:rPr>
          <w:rFonts w:ascii="Times New Roman" w:hAnsi="Times New Roman"/>
          <w:b w:val="0"/>
          <w:i w:val="0"/>
          <w:sz w:val="16"/>
        </w:rPr>
        <w:t xml:space="preserve">R. Geirhos, J. Jacobsen, C. Michaelis et al., “Shortcut learning in deep neural networks,” </w:t>
      </w:r>
      <w:r>
        <w:rPr>
          <w:rFonts w:ascii="Times New Roman" w:hAnsi="Times New Roman"/>
          <w:b w:val="0"/>
          <w:i/>
          <w:sz w:val="16"/>
        </w:rPr>
        <w:t>Nature Machine Intelligence</w:t>
      </w:r>
      <w:r>
        <w:rPr>
          <w:rFonts w:ascii="Times New Roman" w:hAnsi="Times New Roman"/>
          <w:b w:val="0"/>
          <w:i w:val="0"/>
          <w:sz w:val="16"/>
        </w:rPr>
        <w:t>, vol. 2, pp. 665–673, 2020.</w:t>
      </w:r>
    </w:p>
    <w:p>
      <w:pPr>
        <w:keepNext w:val="0"/>
        <w:tabs>
          <w:tab w:pos="432" w:val="left"/>
        </w:tabs>
        <w:spacing w:before="0" w:after="20" w:line="240" w:lineRule="auto"/>
        <w:ind w:left="432" w:hanging="432"/>
        <w:jc w:val="both"/>
      </w:pPr>
      <w:r>
        <w:rPr>
          <w:rFonts w:ascii="Times New Roman" w:hAnsi="Times New Roman"/>
          <w:b w:val="0"/>
          <w:i w:val="0"/>
          <w:sz w:val="16"/>
        </w:rPr>
        <w:t>[12]</w:t>
        <w:tab/>
      </w:r>
      <w:r>
        <w:rPr>
          <w:rFonts w:ascii="Times New Roman" w:hAnsi="Times New Roman"/>
          <w:b w:val="0"/>
          <w:i w:val="0"/>
          <w:sz w:val="16"/>
        </w:rPr>
        <w:t xml:space="preserve">J. R. Zech, M. A. Badgeley, M. Liu, A. B. Costa, J. J. Titano, and E. K. Oermann, “Variable generalization performance of a deep learning model to detect pneumonia in chest radiographs: a cross-sectional study,” </w:t>
      </w:r>
      <w:r>
        <w:rPr>
          <w:rFonts w:ascii="Times New Roman" w:hAnsi="Times New Roman"/>
          <w:b w:val="0"/>
          <w:i/>
          <w:sz w:val="16"/>
        </w:rPr>
        <w:t>PLoS Medicine</w:t>
      </w:r>
      <w:r>
        <w:rPr>
          <w:rFonts w:ascii="Times New Roman" w:hAnsi="Times New Roman"/>
          <w:b w:val="0"/>
          <w:i w:val="0"/>
          <w:sz w:val="16"/>
        </w:rPr>
        <w:t>, vol. 15, no. 11, Art. no. e1002683, 2018.</w:t>
      </w:r>
    </w:p>
    <w:p>
      <w:pPr>
        <w:keepNext w:val="0"/>
        <w:tabs>
          <w:tab w:pos="432" w:val="left"/>
        </w:tabs>
        <w:spacing w:before="0" w:after="20" w:line="240" w:lineRule="auto"/>
        <w:ind w:left="432" w:hanging="432"/>
        <w:jc w:val="both"/>
      </w:pPr>
      <w:r>
        <w:rPr>
          <w:rFonts w:ascii="Times New Roman" w:hAnsi="Times New Roman"/>
          <w:b w:val="0"/>
          <w:i w:val="0"/>
          <w:sz w:val="16"/>
        </w:rPr>
        <w:t>[13]</w:t>
        <w:tab/>
      </w:r>
      <w:r>
        <w:rPr>
          <w:rFonts w:ascii="Times New Roman" w:hAnsi="Times New Roman"/>
          <w:b w:val="0"/>
          <w:i w:val="0"/>
          <w:sz w:val="16"/>
        </w:rPr>
        <w:t xml:space="preserve">A. J. DeGrave, J. D. Janizek, and S. Lee, “AI for radiographic COVID-19 detection selects shortcuts over signal,” </w:t>
      </w:r>
      <w:r>
        <w:rPr>
          <w:rFonts w:ascii="Times New Roman" w:hAnsi="Times New Roman"/>
          <w:b w:val="0"/>
          <w:i/>
          <w:sz w:val="16"/>
        </w:rPr>
        <w:t>Nature Machine Intelligence</w:t>
      </w:r>
      <w:r>
        <w:rPr>
          <w:rFonts w:ascii="Times New Roman" w:hAnsi="Times New Roman"/>
          <w:b w:val="0"/>
          <w:i w:val="0"/>
          <w:sz w:val="16"/>
        </w:rPr>
        <w:t>, vol. 3, pp. 610–619, 2021.</w:t>
      </w:r>
    </w:p>
    <w:p>
      <w:pPr>
        <w:keepNext w:val="0"/>
        <w:tabs>
          <w:tab w:pos="432" w:val="left"/>
        </w:tabs>
        <w:spacing w:before="0" w:after="20" w:line="240" w:lineRule="auto"/>
        <w:ind w:left="432" w:hanging="432"/>
        <w:jc w:val="both"/>
      </w:pPr>
      <w:r>
        <w:rPr>
          <w:rFonts w:ascii="Times New Roman" w:hAnsi="Times New Roman"/>
          <w:b w:val="0"/>
          <w:i w:val="0"/>
          <w:sz w:val="16"/>
        </w:rPr>
        <w:t>[14]</w:t>
        <w:tab/>
      </w:r>
      <w:r>
        <w:rPr>
          <w:rFonts w:ascii="Times New Roman" w:hAnsi="Times New Roman"/>
          <w:b w:val="0"/>
          <w:i w:val="0"/>
          <w:sz w:val="16"/>
        </w:rPr>
        <w:t xml:space="preserve">B. Glocker, R. Robinson, D. C. Castro, Q. Dou, and E. Konukoglu, “Machine learning with multi-site imaging data: an empirical study on the impact of scanner effects,” </w:t>
      </w:r>
      <w:r>
        <w:rPr>
          <w:rFonts w:ascii="Times New Roman" w:hAnsi="Times New Roman"/>
          <w:b w:val="0"/>
          <w:i w:val="0"/>
          <w:sz w:val="16"/>
        </w:rPr>
        <w:t>arXiv preprint arXiv:1910.04597, 2019.</w:t>
      </w:r>
    </w:p>
    <w:p>
      <w:pPr>
        <w:keepNext w:val="0"/>
        <w:tabs>
          <w:tab w:pos="432" w:val="left"/>
        </w:tabs>
        <w:spacing w:before="0" w:after="20" w:line="240" w:lineRule="auto"/>
        <w:ind w:left="432" w:hanging="432"/>
        <w:jc w:val="both"/>
      </w:pPr>
      <w:r>
        <w:rPr>
          <w:rFonts w:ascii="Times New Roman" w:hAnsi="Times New Roman"/>
          <w:b w:val="0"/>
          <w:i w:val="0"/>
          <w:sz w:val="16"/>
        </w:rPr>
        <w:t>[15]</w:t>
        <w:tab/>
      </w:r>
      <w:r>
        <w:rPr>
          <w:rFonts w:ascii="Times New Roman" w:hAnsi="Times New Roman"/>
          <w:b w:val="0"/>
          <w:i w:val="0"/>
          <w:sz w:val="16"/>
        </w:rPr>
        <w:t xml:space="preserve">J. Fortin, N. Cullen, Y. I. Sheline et al., “Harmonization of cortical thickness measurements across scanners and sites,” </w:t>
      </w:r>
      <w:r>
        <w:rPr>
          <w:rFonts w:ascii="Times New Roman" w:hAnsi="Times New Roman"/>
          <w:b w:val="0"/>
          <w:i/>
          <w:sz w:val="16"/>
        </w:rPr>
        <w:t>NeuroImage</w:t>
      </w:r>
      <w:r>
        <w:rPr>
          <w:rFonts w:ascii="Times New Roman" w:hAnsi="Times New Roman"/>
          <w:b w:val="0"/>
          <w:i w:val="0"/>
          <w:sz w:val="16"/>
        </w:rPr>
        <w:t>, vol. 167, pp. 104–120, 2018.</w:t>
      </w:r>
    </w:p>
    <w:p>
      <w:pPr>
        <w:keepNext w:val="0"/>
        <w:tabs>
          <w:tab w:pos="432" w:val="left"/>
        </w:tabs>
        <w:spacing w:before="0" w:after="20" w:line="240" w:lineRule="auto"/>
        <w:ind w:left="432" w:hanging="432"/>
        <w:jc w:val="both"/>
      </w:pPr>
      <w:r>
        <w:rPr>
          <w:rFonts w:ascii="Times New Roman" w:hAnsi="Times New Roman"/>
          <w:b w:val="0"/>
          <w:i w:val="0"/>
          <w:sz w:val="16"/>
        </w:rPr>
        <w:t>[16]</w:t>
        <w:tab/>
      </w:r>
      <w:r>
        <w:rPr>
          <w:rFonts w:ascii="Times New Roman" w:hAnsi="Times New Roman"/>
          <w:b w:val="0"/>
          <w:i w:val="0"/>
          <w:sz w:val="16"/>
        </w:rPr>
        <w:t xml:space="preserve">N. K. Dinsdale, M. Jenkinson, and A. I. L. Namburete, “Deep learning-based unlearning of dataset bias for MRI harmonisation and confound removal,” </w:t>
      </w:r>
      <w:r>
        <w:rPr>
          <w:rFonts w:ascii="Times New Roman" w:hAnsi="Times New Roman"/>
          <w:b w:val="0"/>
          <w:i/>
          <w:sz w:val="16"/>
        </w:rPr>
        <w:t>NeuroImage</w:t>
      </w:r>
      <w:r>
        <w:rPr>
          <w:rFonts w:ascii="Times New Roman" w:hAnsi="Times New Roman"/>
          <w:b w:val="0"/>
          <w:i w:val="0"/>
          <w:sz w:val="16"/>
        </w:rPr>
        <w:t>, vol. 228, Art. no. 117689, 2021.</w:t>
      </w:r>
    </w:p>
    <w:p>
      <w:pPr>
        <w:keepNext w:val="0"/>
        <w:tabs>
          <w:tab w:pos="432" w:val="left"/>
        </w:tabs>
        <w:spacing w:before="0" w:after="20" w:line="240" w:lineRule="auto"/>
        <w:ind w:left="432" w:hanging="432"/>
        <w:jc w:val="both"/>
      </w:pPr>
      <w:r>
        <w:rPr>
          <w:rFonts w:ascii="Times New Roman" w:hAnsi="Times New Roman"/>
          <w:b w:val="0"/>
          <w:i w:val="0"/>
          <w:sz w:val="16"/>
        </w:rPr>
        <w:t>[17]</w:t>
        <w:tab/>
      </w:r>
      <w:r>
        <w:rPr>
          <w:rFonts w:ascii="Times New Roman" w:hAnsi="Times New Roman"/>
          <w:b w:val="0"/>
          <w:i w:val="0"/>
          <w:sz w:val="16"/>
        </w:rPr>
        <w:t xml:space="preserve">J. Adebayo, J. Gilmer, M. Muelly, I. Goodfellow, M. Hardt, and B. Kim, “Sanity checks for saliency maps,” </w:t>
      </w:r>
      <w:r>
        <w:rPr>
          <w:rFonts w:ascii="Times New Roman" w:hAnsi="Times New Roman"/>
          <w:b w:val="0"/>
          <w:i w:val="0"/>
          <w:sz w:val="16"/>
        </w:rPr>
        <w:t xml:space="preserve">in </w:t>
      </w:r>
      <w:r>
        <w:rPr>
          <w:rFonts w:ascii="Times New Roman" w:hAnsi="Times New Roman"/>
          <w:b w:val="0"/>
          <w:i/>
          <w:sz w:val="16"/>
        </w:rPr>
        <w:t>Advances in Neural Information Processing Systems (NeurIPS)</w:t>
      </w:r>
      <w:r>
        <w:rPr>
          <w:rFonts w:ascii="Times New Roman" w:hAnsi="Times New Roman"/>
          <w:b w:val="0"/>
          <w:i w:val="0"/>
          <w:sz w:val="16"/>
        </w:rPr>
        <w:t>, vol. 31, 2018.</w:t>
      </w:r>
    </w:p>
    <w:p>
      <w:pPr>
        <w:keepNext w:val="0"/>
        <w:tabs>
          <w:tab w:pos="432" w:val="left"/>
        </w:tabs>
        <w:spacing w:before="0" w:after="20" w:line="240" w:lineRule="auto"/>
        <w:ind w:left="432" w:hanging="432"/>
        <w:jc w:val="both"/>
      </w:pPr>
      <w:r>
        <w:rPr>
          <w:rFonts w:ascii="Times New Roman" w:hAnsi="Times New Roman"/>
          <w:b w:val="0"/>
          <w:i w:val="0"/>
          <w:sz w:val="16"/>
        </w:rPr>
        <w:t>[18]</w:t>
        <w:tab/>
      </w:r>
      <w:r>
        <w:rPr>
          <w:rFonts w:ascii="Times New Roman" w:hAnsi="Times New Roman"/>
          <w:b w:val="0"/>
          <w:i w:val="0"/>
          <w:sz w:val="16"/>
        </w:rPr>
        <w:t xml:space="preserve">S. Hooker, D. Erhan, P. Kindermans, and B. Kim, “A benchmark for interpretability methods in deep neural networks,” </w:t>
      </w:r>
      <w:r>
        <w:rPr>
          <w:rFonts w:ascii="Times New Roman" w:hAnsi="Times New Roman"/>
          <w:b w:val="0"/>
          <w:i w:val="0"/>
          <w:sz w:val="16"/>
        </w:rPr>
        <w:t xml:space="preserve">in </w:t>
      </w:r>
      <w:r>
        <w:rPr>
          <w:rFonts w:ascii="Times New Roman" w:hAnsi="Times New Roman"/>
          <w:b w:val="0"/>
          <w:i/>
          <w:sz w:val="16"/>
        </w:rPr>
        <w:t>Advances in Neural Information Processing Systems (NeurIPS)</w:t>
      </w:r>
      <w:r>
        <w:rPr>
          <w:rFonts w:ascii="Times New Roman" w:hAnsi="Times New Roman"/>
          <w:b w:val="0"/>
          <w:i w:val="0"/>
          <w:sz w:val="16"/>
        </w:rPr>
        <w:t>, vol. 32, 2019.</w:t>
      </w:r>
    </w:p>
    <w:p>
      <w:pPr>
        <w:keepNext w:val="0"/>
        <w:tabs>
          <w:tab w:pos="432" w:val="left"/>
        </w:tabs>
        <w:spacing w:before="0" w:after="20" w:line="240" w:lineRule="auto"/>
        <w:ind w:left="432" w:hanging="432"/>
        <w:jc w:val="both"/>
      </w:pPr>
      <w:r>
        <w:rPr>
          <w:rFonts w:ascii="Times New Roman" w:hAnsi="Times New Roman"/>
          <w:b w:val="0"/>
          <w:i w:val="0"/>
          <w:sz w:val="16"/>
        </w:rPr>
        <w:t>[19]</w:t>
        <w:tab/>
      </w:r>
      <w:r>
        <w:rPr>
          <w:rFonts w:ascii="Times New Roman" w:hAnsi="Times New Roman"/>
          <w:b w:val="0"/>
          <w:i w:val="0"/>
          <w:sz w:val="16"/>
        </w:rPr>
        <w:t xml:space="preserve">M. Mitchell, S. Wu, A. Zaldivar et al., “Model cards for model reporting,” </w:t>
      </w:r>
      <w:r>
        <w:rPr>
          <w:rFonts w:ascii="Times New Roman" w:hAnsi="Times New Roman"/>
          <w:b w:val="0"/>
          <w:i w:val="0"/>
          <w:sz w:val="16"/>
        </w:rPr>
        <w:t xml:space="preserve">in </w:t>
      </w:r>
      <w:r>
        <w:rPr>
          <w:rFonts w:ascii="Times New Roman" w:hAnsi="Times New Roman"/>
          <w:b w:val="0"/>
          <w:i/>
          <w:sz w:val="16"/>
        </w:rPr>
        <w:t>Proc. Conference on Fairness, Accountability, and Transparency (FAT*)</w:t>
      </w:r>
      <w:r>
        <w:rPr>
          <w:rFonts w:ascii="Times New Roman" w:hAnsi="Times New Roman"/>
          <w:b w:val="0"/>
          <w:i w:val="0"/>
          <w:sz w:val="16"/>
        </w:rPr>
        <w:t>, pp. 220–229, 2019.</w:t>
      </w:r>
    </w:p>
    <w:p>
      <w:pPr>
        <w:keepNext w:val="0"/>
        <w:tabs>
          <w:tab w:pos="432" w:val="left"/>
        </w:tabs>
        <w:spacing w:before="0" w:after="20" w:line="240" w:lineRule="auto"/>
        <w:ind w:left="432" w:hanging="432"/>
        <w:jc w:val="both"/>
      </w:pPr>
      <w:r>
        <w:rPr>
          <w:rFonts w:ascii="Times New Roman" w:hAnsi="Times New Roman"/>
          <w:b w:val="0"/>
          <w:i w:val="0"/>
          <w:sz w:val="16"/>
        </w:rPr>
        <w:t>[20]</w:t>
        <w:tab/>
      </w:r>
      <w:r>
        <w:rPr>
          <w:rFonts w:ascii="Times New Roman" w:hAnsi="Times New Roman"/>
          <w:b w:val="0"/>
          <w:i w:val="0"/>
          <w:sz w:val="16"/>
        </w:rPr>
        <w:t xml:space="preserve">T. T. Le, R. T. Kuplicki, B. A. McKinney et al., “A nonlinear simulation framework supports adjusting for age when analyzing BrainAGE,” </w:t>
      </w:r>
      <w:r>
        <w:rPr>
          <w:rFonts w:ascii="Times New Roman" w:hAnsi="Times New Roman"/>
          <w:b w:val="0"/>
          <w:i/>
          <w:sz w:val="16"/>
        </w:rPr>
        <w:t>Frontiers in Aging Neuroscience</w:t>
      </w:r>
      <w:r>
        <w:rPr>
          <w:rFonts w:ascii="Times New Roman" w:hAnsi="Times New Roman"/>
          <w:b w:val="0"/>
          <w:i w:val="0"/>
          <w:sz w:val="16"/>
        </w:rPr>
        <w:t>, vol. 10, Art. no. 317, 2018.</w:t>
      </w:r>
    </w:p>
    <w:p>
      <w:pPr>
        <w:keepNext w:val="0"/>
        <w:tabs>
          <w:tab w:pos="432" w:val="left"/>
        </w:tabs>
        <w:spacing w:before="0" w:after="20" w:line="240" w:lineRule="auto"/>
        <w:ind w:left="432" w:hanging="432"/>
        <w:jc w:val="both"/>
      </w:pPr>
      <w:r>
        <w:rPr>
          <w:rFonts w:ascii="Times New Roman" w:hAnsi="Times New Roman"/>
          <w:b w:val="0"/>
          <w:i w:val="0"/>
          <w:sz w:val="16"/>
        </w:rPr>
        <w:t>[21]</w:t>
        <w:tab/>
      </w:r>
      <w:r>
        <w:rPr>
          <w:rFonts w:ascii="Times New Roman" w:hAnsi="Times New Roman"/>
          <w:b w:val="0"/>
          <w:i w:val="0"/>
          <w:sz w:val="16"/>
        </w:rPr>
        <w:t xml:space="preserve">S. M. Smith, D. Vidaurre, F. Alfaro-Almagro, T. E. Nichols, and K. L. Miller, “Estimation of brain age delta from brain imaging,” </w:t>
      </w:r>
      <w:r>
        <w:rPr>
          <w:rFonts w:ascii="Times New Roman" w:hAnsi="Times New Roman"/>
          <w:b w:val="0"/>
          <w:i/>
          <w:sz w:val="16"/>
        </w:rPr>
        <w:t>NeuroImage</w:t>
      </w:r>
      <w:r>
        <w:rPr>
          <w:rFonts w:ascii="Times New Roman" w:hAnsi="Times New Roman"/>
          <w:b w:val="0"/>
          <w:i w:val="0"/>
          <w:sz w:val="16"/>
        </w:rPr>
        <w:t>, vol. 200, pp. 528–539, 2019.</w:t>
      </w:r>
    </w:p>
    <w:p>
      <w:pPr>
        <w:keepNext w:val="0"/>
        <w:tabs>
          <w:tab w:pos="432" w:val="left"/>
        </w:tabs>
        <w:spacing w:before="0" w:after="20" w:line="240" w:lineRule="auto"/>
        <w:ind w:left="432" w:hanging="432"/>
        <w:jc w:val="both"/>
      </w:pPr>
      <w:r>
        <w:rPr>
          <w:rFonts w:ascii="Times New Roman" w:hAnsi="Times New Roman"/>
          <w:b w:val="0"/>
          <w:i w:val="0"/>
          <w:sz w:val="16"/>
        </w:rPr>
        <w:t>[22]</w:t>
        <w:tab/>
      </w:r>
      <w:r>
        <w:rPr>
          <w:rFonts w:ascii="Times New Roman" w:hAnsi="Times New Roman"/>
          <w:b w:val="0"/>
          <w:i w:val="0"/>
          <w:sz w:val="16"/>
        </w:rPr>
        <w:t xml:space="preserve">A. G. de Lange and J. H. Cole, “Commentary: Correction procedures in brain-age prediction,” </w:t>
      </w:r>
      <w:r>
        <w:rPr>
          <w:rFonts w:ascii="Times New Roman" w:hAnsi="Times New Roman"/>
          <w:b w:val="0"/>
          <w:i/>
          <w:sz w:val="16"/>
        </w:rPr>
        <w:t>NeuroImage: Clinical</w:t>
      </w:r>
      <w:r>
        <w:rPr>
          <w:rFonts w:ascii="Times New Roman" w:hAnsi="Times New Roman"/>
          <w:b w:val="0"/>
          <w:i w:val="0"/>
          <w:sz w:val="16"/>
        </w:rPr>
        <w:t>, vol. 26, Art. no. 102229, 2020.</w:t>
      </w:r>
    </w:p>
    <w:p>
      <w:pPr>
        <w:keepNext w:val="0"/>
        <w:tabs>
          <w:tab w:pos="432" w:val="left"/>
        </w:tabs>
        <w:spacing w:before="0" w:after="20" w:line="240" w:lineRule="auto"/>
        <w:ind w:left="432" w:hanging="432"/>
        <w:jc w:val="both"/>
      </w:pPr>
      <w:r>
        <w:rPr>
          <w:rFonts w:ascii="Times New Roman" w:hAnsi="Times New Roman"/>
          <w:b w:val="0"/>
          <w:i w:val="0"/>
          <w:sz w:val="16"/>
        </w:rPr>
        <w:t>[23]</w:t>
        <w:tab/>
      </w:r>
      <w:r>
        <w:rPr>
          <w:rFonts w:ascii="Times New Roman" w:hAnsi="Times New Roman"/>
          <w:b w:val="0"/>
          <w:i w:val="0"/>
          <w:sz w:val="16"/>
        </w:rPr>
        <w:t xml:space="preserve">B. Glocker, C. Jones, M. Bernhardt, and S. Winzeck, “Algorithmic encoding of protected characteristics in chest X-ray disease detection models,” </w:t>
      </w:r>
      <w:r>
        <w:rPr>
          <w:rFonts w:ascii="Times New Roman" w:hAnsi="Times New Roman"/>
          <w:b w:val="0"/>
          <w:i/>
          <w:sz w:val="16"/>
        </w:rPr>
        <w:t>eBioMedicine</w:t>
      </w:r>
      <w:r>
        <w:rPr>
          <w:rFonts w:ascii="Times New Roman" w:hAnsi="Times New Roman"/>
          <w:b w:val="0"/>
          <w:i w:val="0"/>
          <w:sz w:val="16"/>
        </w:rPr>
        <w:t>, vol. 89, Art. no. 104467, 2023.</w:t>
      </w:r>
    </w:p>
    <w:p>
      <w:pPr>
        <w:keepNext w:val="0"/>
        <w:tabs>
          <w:tab w:pos="432" w:val="left"/>
        </w:tabs>
        <w:spacing w:before="0" w:after="20" w:line="240" w:lineRule="auto"/>
        <w:ind w:left="432" w:hanging="432"/>
        <w:jc w:val="both"/>
      </w:pPr>
      <w:r>
        <w:rPr>
          <w:rFonts w:ascii="Times New Roman" w:hAnsi="Times New Roman"/>
          <w:b w:val="0"/>
          <w:i w:val="0"/>
          <w:sz w:val="16"/>
        </w:rPr>
        <w:t>[24]</w:t>
        <w:tab/>
      </w:r>
      <w:r>
        <w:rPr>
          <w:rFonts w:ascii="Times New Roman" w:hAnsi="Times New Roman"/>
          <w:b w:val="0"/>
          <w:i w:val="0"/>
          <w:sz w:val="16"/>
        </w:rPr>
        <w:t xml:space="preserve">G. Alain and Y. Bengio, “Understanding intermediate layers using linear classifier probes,” </w:t>
      </w:r>
      <w:r>
        <w:rPr>
          <w:rFonts w:ascii="Times New Roman" w:hAnsi="Times New Roman"/>
          <w:b w:val="0"/>
          <w:i w:val="0"/>
          <w:sz w:val="16"/>
        </w:rPr>
        <w:t>arXiv preprint arXiv:1610.01644, 2016.</w:t>
      </w:r>
    </w:p>
    <w:p>
      <w:pPr>
        <w:keepNext w:val="0"/>
        <w:tabs>
          <w:tab w:pos="432" w:val="left"/>
        </w:tabs>
        <w:spacing w:before="0" w:after="20" w:line="240" w:lineRule="auto"/>
        <w:ind w:left="432" w:hanging="432"/>
        <w:jc w:val="both"/>
      </w:pPr>
      <w:r>
        <w:rPr>
          <w:rFonts w:ascii="Times New Roman" w:hAnsi="Times New Roman"/>
          <w:b w:val="0"/>
          <w:i w:val="0"/>
          <w:sz w:val="16"/>
        </w:rPr>
        <w:t>[25]</w:t>
        <w:tab/>
      </w:r>
      <w:r>
        <w:rPr>
          <w:rFonts w:ascii="Times New Roman" w:hAnsi="Times New Roman"/>
          <w:b w:val="0"/>
          <w:i w:val="0"/>
          <w:sz w:val="16"/>
        </w:rPr>
        <w:t xml:space="preserve">W. E. Johnson, C. Li, and A. Rabinovic, “Adjusting batch effects in microarray expression data using empirical Bayes methods,” </w:t>
      </w:r>
      <w:r>
        <w:rPr>
          <w:rFonts w:ascii="Times New Roman" w:hAnsi="Times New Roman"/>
          <w:b w:val="0"/>
          <w:i/>
          <w:sz w:val="16"/>
        </w:rPr>
        <w:t>Biostatistics</w:t>
      </w:r>
      <w:r>
        <w:rPr>
          <w:rFonts w:ascii="Times New Roman" w:hAnsi="Times New Roman"/>
          <w:b w:val="0"/>
          <w:i w:val="0"/>
          <w:sz w:val="16"/>
        </w:rPr>
        <w:t>, vol. 8, no. 1, pp. 118–127, 2007.</w:t>
      </w:r>
    </w:p>
    <w:p>
      <w:pPr>
        <w:keepNext w:val="0"/>
        <w:tabs>
          <w:tab w:pos="432" w:val="left"/>
        </w:tabs>
        <w:spacing w:before="0" w:after="20" w:line="240" w:lineRule="auto"/>
        <w:ind w:left="432" w:hanging="432"/>
        <w:jc w:val="both"/>
      </w:pPr>
      <w:r>
        <w:rPr>
          <w:rFonts w:ascii="Times New Roman" w:hAnsi="Times New Roman"/>
          <w:b w:val="0"/>
          <w:i w:val="0"/>
          <w:sz w:val="16"/>
        </w:rPr>
        <w:t>[26]</w:t>
        <w:tab/>
      </w:r>
      <w:r>
        <w:rPr>
          <w:rFonts w:ascii="Times New Roman" w:hAnsi="Times New Roman"/>
          <w:b w:val="0"/>
          <w:i w:val="0"/>
          <w:sz w:val="16"/>
        </w:rPr>
        <w:t xml:space="preserve">Y. Ganin, E. Ustinova, H. Ajakan et al., “Domain-adversarial training of neural networks,” </w:t>
      </w:r>
      <w:r>
        <w:rPr>
          <w:rFonts w:ascii="Times New Roman" w:hAnsi="Times New Roman"/>
          <w:b w:val="0"/>
          <w:i/>
          <w:sz w:val="16"/>
        </w:rPr>
        <w:t>Journal of Machine Learning Research</w:t>
      </w:r>
      <w:r>
        <w:rPr>
          <w:rFonts w:ascii="Times New Roman" w:hAnsi="Times New Roman"/>
          <w:b w:val="0"/>
          <w:i w:val="0"/>
          <w:sz w:val="16"/>
        </w:rPr>
        <w:t>, vol. 17, no. 59, pp. 1–35, 2016.</w:t>
      </w:r>
    </w:p>
    <w:p>
      <w:pPr>
        <w:keepNext w:val="0"/>
        <w:tabs>
          <w:tab w:pos="432" w:val="left"/>
        </w:tabs>
        <w:spacing w:before="0" w:after="20" w:line="240" w:lineRule="auto"/>
        <w:ind w:left="432" w:hanging="432"/>
        <w:jc w:val="both"/>
      </w:pPr>
      <w:r>
        <w:rPr>
          <w:rFonts w:ascii="Times New Roman" w:hAnsi="Times New Roman"/>
          <w:b w:val="0"/>
          <w:i w:val="0"/>
          <w:sz w:val="16"/>
        </w:rPr>
        <w:t>[27]</w:t>
        <w:tab/>
      </w:r>
      <w:r>
        <w:rPr>
          <w:rFonts w:ascii="Times New Roman" w:hAnsi="Times New Roman"/>
          <w:b w:val="0"/>
          <w:i w:val="0"/>
          <w:sz w:val="16"/>
        </w:rPr>
        <w:t xml:space="preserve">L. G. Nyúl, J. K. Udupa, and X. Zhang, “New variants of a method of MRI scale standardization,” </w:t>
      </w:r>
      <w:r>
        <w:rPr>
          <w:rFonts w:ascii="Times New Roman" w:hAnsi="Times New Roman"/>
          <w:b w:val="0"/>
          <w:i/>
          <w:sz w:val="16"/>
        </w:rPr>
        <w:t>IEEE Transactions on Medical Imaging</w:t>
      </w:r>
      <w:r>
        <w:rPr>
          <w:rFonts w:ascii="Times New Roman" w:hAnsi="Times New Roman"/>
          <w:b w:val="0"/>
          <w:i w:val="0"/>
          <w:sz w:val="16"/>
        </w:rPr>
        <w:t>, vol. 19, no. 2, pp. 143–150, 2000.</w:t>
      </w:r>
    </w:p>
    <w:p>
      <w:pPr>
        <w:keepNext w:val="0"/>
        <w:tabs>
          <w:tab w:pos="432" w:val="left"/>
        </w:tabs>
        <w:spacing w:before="0" w:after="20" w:line="240" w:lineRule="auto"/>
        <w:ind w:left="432" w:hanging="432"/>
        <w:jc w:val="both"/>
      </w:pPr>
      <w:r>
        <w:rPr>
          <w:rFonts w:ascii="Times New Roman" w:hAnsi="Times New Roman"/>
          <w:b w:val="0"/>
          <w:i w:val="0"/>
          <w:sz w:val="16"/>
        </w:rPr>
        <w:t>[28]</w:t>
        <w:tab/>
      </w:r>
      <w:r>
        <w:rPr>
          <w:rFonts w:ascii="Times New Roman" w:hAnsi="Times New Roman"/>
          <w:b w:val="0"/>
          <w:i w:val="0"/>
          <w:sz w:val="16"/>
        </w:rPr>
        <w:t xml:space="preserve">R. R. Selvaraju, M. Cogswell, A. Das, R. Vedantam, D. Parikh, and D. Batra, “Grad-CAM: Visual explanations from deep networks via gradient-based localization,” </w:t>
      </w:r>
      <w:r>
        <w:rPr>
          <w:rFonts w:ascii="Times New Roman" w:hAnsi="Times New Roman"/>
          <w:b w:val="0"/>
          <w:i w:val="0"/>
          <w:sz w:val="16"/>
        </w:rPr>
        <w:t xml:space="preserve">in </w:t>
      </w:r>
      <w:r>
        <w:rPr>
          <w:rFonts w:ascii="Times New Roman" w:hAnsi="Times New Roman"/>
          <w:b w:val="0"/>
          <w:i/>
          <w:sz w:val="16"/>
        </w:rPr>
        <w:t>Proc. IEEE International Conference on Computer Vision (ICCV)</w:t>
      </w:r>
      <w:r>
        <w:rPr>
          <w:rFonts w:ascii="Times New Roman" w:hAnsi="Times New Roman"/>
          <w:b w:val="0"/>
          <w:i w:val="0"/>
          <w:sz w:val="16"/>
        </w:rPr>
        <w:t>, pp. 618–626, 2017.</w:t>
      </w:r>
    </w:p>
    <w:p>
      <w:pPr>
        <w:keepNext w:val="0"/>
        <w:tabs>
          <w:tab w:pos="432" w:val="left"/>
        </w:tabs>
        <w:spacing w:before="0" w:after="20" w:line="240" w:lineRule="auto"/>
        <w:ind w:left="432" w:hanging="432"/>
        <w:jc w:val="both"/>
      </w:pPr>
      <w:r>
        <w:rPr>
          <w:rFonts w:ascii="Times New Roman" w:hAnsi="Times New Roman"/>
          <w:b w:val="0"/>
          <w:i w:val="0"/>
          <w:sz w:val="16"/>
        </w:rPr>
        <w:t>[29]</w:t>
        <w:tab/>
      </w:r>
      <w:r>
        <w:rPr>
          <w:rFonts w:ascii="Times New Roman" w:hAnsi="Times New Roman"/>
          <w:b w:val="0"/>
          <w:i w:val="0"/>
          <w:sz w:val="16"/>
        </w:rPr>
        <w:t xml:space="preserve">R. L. Draelos and L. Carin, “Use HiResCAM instead of Grad-CAM for faithful explanations of convolutional neural networks,” </w:t>
      </w:r>
      <w:r>
        <w:rPr>
          <w:rFonts w:ascii="Times New Roman" w:hAnsi="Times New Roman"/>
          <w:b w:val="0"/>
          <w:i w:val="0"/>
          <w:sz w:val="16"/>
        </w:rPr>
        <w:t>arXiv preprint arXiv:2011.08891, 2020.</w:t>
      </w:r>
    </w:p>
    <w:p>
      <w:pPr>
        <w:keepNext w:val="0"/>
        <w:tabs>
          <w:tab w:pos="432" w:val="left"/>
        </w:tabs>
        <w:spacing w:before="0" w:after="20" w:line="240" w:lineRule="auto"/>
        <w:ind w:left="432" w:hanging="432"/>
        <w:jc w:val="both"/>
      </w:pPr>
      <w:r>
        <w:rPr>
          <w:rFonts w:ascii="Times New Roman" w:hAnsi="Times New Roman"/>
          <w:b w:val="0"/>
          <w:i w:val="0"/>
          <w:sz w:val="16"/>
        </w:rPr>
        <w:t>[30]</w:t>
        <w:tab/>
      </w:r>
      <w:r>
        <w:rPr>
          <w:rFonts w:ascii="Times New Roman" w:hAnsi="Times New Roman"/>
          <w:b w:val="0"/>
          <w:i w:val="0"/>
          <w:sz w:val="16"/>
        </w:rPr>
        <w:t xml:space="preserve">W. Samek, A. Binder, G. Montavon, S. Lapuschkin, and K. Müller, “Evaluating the visualization of what a deep neural network has learned,” </w:t>
      </w:r>
      <w:r>
        <w:rPr>
          <w:rFonts w:ascii="Times New Roman" w:hAnsi="Times New Roman"/>
          <w:b w:val="0"/>
          <w:i/>
          <w:sz w:val="16"/>
        </w:rPr>
        <w:t>IEEE Transactions on Neural Networks and Learning Systems</w:t>
      </w:r>
      <w:r>
        <w:rPr>
          <w:rFonts w:ascii="Times New Roman" w:hAnsi="Times New Roman"/>
          <w:b w:val="0"/>
          <w:i w:val="0"/>
          <w:sz w:val="16"/>
        </w:rPr>
        <w:t>, vol. 28, no. 11, pp. 2660–2673, 2017.</w:t>
      </w:r>
    </w:p>
    <w:p>
      <w:pPr>
        <w:keepNext w:val="0"/>
        <w:tabs>
          <w:tab w:pos="432" w:val="left"/>
        </w:tabs>
        <w:spacing w:before="0" w:after="20" w:line="240" w:lineRule="auto"/>
        <w:ind w:left="432" w:hanging="432"/>
        <w:jc w:val="both"/>
      </w:pPr>
      <w:r>
        <w:rPr>
          <w:rFonts w:ascii="Times New Roman" w:hAnsi="Times New Roman"/>
          <w:b w:val="0"/>
          <w:i w:val="0"/>
          <w:sz w:val="16"/>
        </w:rPr>
        <w:t>[31]</w:t>
        <w:tab/>
      </w:r>
      <w:r>
        <w:rPr>
          <w:rFonts w:ascii="Times New Roman" w:hAnsi="Times New Roman"/>
          <w:b w:val="0"/>
          <w:i w:val="0"/>
          <w:sz w:val="16"/>
        </w:rPr>
        <w:t xml:space="preserve">C. Guo, G. Pleiss, Y. Sun, and K. Q. Weinberger, “On calibration of modern neural networks,” </w:t>
      </w:r>
      <w:r>
        <w:rPr>
          <w:rFonts w:ascii="Times New Roman" w:hAnsi="Times New Roman"/>
          <w:b w:val="0"/>
          <w:i w:val="0"/>
          <w:sz w:val="16"/>
        </w:rPr>
        <w:t xml:space="preserve">in </w:t>
      </w:r>
      <w:r>
        <w:rPr>
          <w:rFonts w:ascii="Times New Roman" w:hAnsi="Times New Roman"/>
          <w:b w:val="0"/>
          <w:i/>
          <w:sz w:val="16"/>
        </w:rPr>
        <w:t>Proc. International Conference on Machine Learning (ICML)</w:t>
      </w:r>
      <w:r>
        <w:rPr>
          <w:rFonts w:ascii="Times New Roman" w:hAnsi="Times New Roman"/>
          <w:b w:val="0"/>
          <w:i w:val="0"/>
          <w:sz w:val="16"/>
        </w:rPr>
        <w:t>, pp. 1321–1330, 2017.</w:t>
      </w:r>
    </w:p>
    <w:p>
      <w:pPr>
        <w:keepNext w:val="0"/>
        <w:tabs>
          <w:tab w:pos="432" w:val="left"/>
        </w:tabs>
        <w:spacing w:before="0" w:after="20" w:line="240" w:lineRule="auto"/>
        <w:ind w:left="432" w:hanging="432"/>
        <w:jc w:val="both"/>
      </w:pPr>
      <w:r>
        <w:rPr>
          <w:rFonts w:ascii="Times New Roman" w:hAnsi="Times New Roman"/>
          <w:b w:val="0"/>
          <w:i w:val="0"/>
          <w:sz w:val="16"/>
        </w:rPr>
        <w:t>[32]</w:t>
        <w:tab/>
      </w:r>
      <w:r>
        <w:rPr>
          <w:rFonts w:ascii="Times New Roman" w:hAnsi="Times New Roman"/>
          <w:b w:val="0"/>
          <w:i w:val="0"/>
          <w:sz w:val="16"/>
        </w:rPr>
        <w:t>IXI Dataset. [Online]. Available: https://brain-development.org/ixi-dataset/</w:t>
      </w:r>
    </w:p>
    <w:p>
      <w:pPr>
        <w:keepNext w:val="0"/>
        <w:tabs>
          <w:tab w:pos="432" w:val="left"/>
        </w:tabs>
        <w:spacing w:before="0" w:after="20" w:line="240" w:lineRule="auto"/>
        <w:ind w:left="432" w:hanging="432"/>
        <w:jc w:val="both"/>
      </w:pPr>
      <w:r>
        <w:rPr>
          <w:rFonts w:ascii="Times New Roman" w:hAnsi="Times New Roman"/>
          <w:b w:val="0"/>
          <w:i w:val="0"/>
          <w:sz w:val="16"/>
        </w:rPr>
        <w:t>[33]</w:t>
        <w:tab/>
      </w:r>
      <w:r>
        <w:rPr>
          <w:rFonts w:ascii="Times New Roman" w:hAnsi="Times New Roman"/>
          <w:b w:val="0"/>
          <w:i w:val="0"/>
          <w:sz w:val="16"/>
        </w:rPr>
        <w:t xml:space="preserve">N. J. Tustison, B. B. Avants, P. A. Cook et al., “N4ITK: Improved N3 bias correction,” </w:t>
      </w:r>
      <w:r>
        <w:rPr>
          <w:rFonts w:ascii="Times New Roman" w:hAnsi="Times New Roman"/>
          <w:b w:val="0"/>
          <w:i/>
          <w:sz w:val="16"/>
        </w:rPr>
        <w:t>IEEE Transactions on Medical Imaging</w:t>
      </w:r>
      <w:r>
        <w:rPr>
          <w:rFonts w:ascii="Times New Roman" w:hAnsi="Times New Roman"/>
          <w:b w:val="0"/>
          <w:i w:val="0"/>
          <w:sz w:val="16"/>
        </w:rPr>
        <w:t>, vol. 29, no. 6, pp. 1310–1320, 2010.</w:t>
      </w:r>
    </w:p>
    <w:p>
      <w:pPr>
        <w:keepNext w:val="0"/>
        <w:tabs>
          <w:tab w:pos="432" w:val="left"/>
        </w:tabs>
        <w:spacing w:before="0" w:after="20" w:line="240" w:lineRule="auto"/>
        <w:ind w:left="432" w:hanging="432"/>
        <w:jc w:val="both"/>
      </w:pPr>
      <w:r>
        <w:rPr>
          <w:rFonts w:ascii="Times New Roman" w:hAnsi="Times New Roman"/>
          <w:b w:val="0"/>
          <w:i w:val="0"/>
          <w:sz w:val="16"/>
        </w:rPr>
        <w:t>[34]</w:t>
        <w:tab/>
      </w:r>
      <w:r>
        <w:rPr>
          <w:rFonts w:ascii="Times New Roman" w:hAnsi="Times New Roman"/>
          <w:b w:val="0"/>
          <w:i w:val="0"/>
          <w:sz w:val="16"/>
        </w:rPr>
        <w:t xml:space="preserve">N. J. Tustison, P. A. Cook, A. J. Holbrook et al., “The ANTsX ecosystem for quantitative biological and medical imaging,” </w:t>
      </w:r>
      <w:r>
        <w:rPr>
          <w:rFonts w:ascii="Times New Roman" w:hAnsi="Times New Roman"/>
          <w:b w:val="0"/>
          <w:i/>
          <w:sz w:val="16"/>
        </w:rPr>
        <w:t>Scientific Reports</w:t>
      </w:r>
      <w:r>
        <w:rPr>
          <w:rFonts w:ascii="Times New Roman" w:hAnsi="Times New Roman"/>
          <w:b w:val="0"/>
          <w:i w:val="0"/>
          <w:sz w:val="16"/>
        </w:rPr>
        <w:t>, vol. 11, Art. no. 9068, 2021.</w:t>
      </w:r>
    </w:p>
    <w:p>
      <w:pPr>
        <w:keepNext w:val="0"/>
        <w:tabs>
          <w:tab w:pos="432" w:val="left"/>
        </w:tabs>
        <w:spacing w:before="0" w:after="20" w:line="240" w:lineRule="auto"/>
        <w:ind w:left="432" w:hanging="432"/>
        <w:jc w:val="both"/>
      </w:pPr>
      <w:r>
        <w:rPr>
          <w:rFonts w:ascii="Times New Roman" w:hAnsi="Times New Roman"/>
          <w:b w:val="0"/>
          <w:i w:val="0"/>
          <w:sz w:val="16"/>
        </w:rPr>
        <w:t>[35]</w:t>
        <w:tab/>
      </w:r>
      <w:r>
        <w:rPr>
          <w:rFonts w:ascii="Times New Roman" w:hAnsi="Times New Roman"/>
          <w:b w:val="0"/>
          <w:i w:val="0"/>
          <w:sz w:val="16"/>
        </w:rPr>
        <w:t xml:space="preserve">R. Ciric, W. H. Thompson, R. Lorenz et al., “TemplateFlow: FAIR-sharing of multi-scale, multi-species brain models,” </w:t>
      </w:r>
      <w:r>
        <w:rPr>
          <w:rFonts w:ascii="Times New Roman" w:hAnsi="Times New Roman"/>
          <w:b w:val="0"/>
          <w:i/>
          <w:sz w:val="16"/>
        </w:rPr>
        <w:t>Nature Methods</w:t>
      </w:r>
      <w:r>
        <w:rPr>
          <w:rFonts w:ascii="Times New Roman" w:hAnsi="Times New Roman"/>
          <w:b w:val="0"/>
          <w:i w:val="0"/>
          <w:sz w:val="16"/>
        </w:rPr>
        <w:t>, vol. 19, pp. 1568–1571, 2022.</w:t>
      </w:r>
    </w:p>
    <w:p>
      <w:pPr>
        <w:keepNext w:val="0"/>
        <w:tabs>
          <w:tab w:pos="432" w:val="left"/>
        </w:tabs>
        <w:spacing w:before="0" w:after="20" w:line="240" w:lineRule="auto"/>
        <w:ind w:left="432" w:hanging="432"/>
        <w:jc w:val="both"/>
      </w:pPr>
      <w:r>
        <w:rPr>
          <w:rFonts w:ascii="Times New Roman" w:hAnsi="Times New Roman"/>
          <w:b w:val="0"/>
          <w:i w:val="0"/>
          <w:sz w:val="16"/>
        </w:rPr>
        <w:t>[36]</w:t>
        <w:tab/>
      </w:r>
      <w:r>
        <w:rPr>
          <w:rFonts w:ascii="Times New Roman" w:hAnsi="Times New Roman"/>
          <w:b w:val="0"/>
          <w:i w:val="0"/>
          <w:sz w:val="16"/>
        </w:rPr>
        <w:t xml:space="preserve">I. Loshchilov and F. Hutter, “Decoupled weight decay regularization,” </w:t>
      </w:r>
      <w:r>
        <w:rPr>
          <w:rFonts w:ascii="Times New Roman" w:hAnsi="Times New Roman"/>
          <w:b w:val="0"/>
          <w:i w:val="0"/>
          <w:sz w:val="16"/>
        </w:rPr>
        <w:t xml:space="preserve">in </w:t>
      </w:r>
      <w:r>
        <w:rPr>
          <w:rFonts w:ascii="Times New Roman" w:hAnsi="Times New Roman"/>
          <w:b w:val="0"/>
          <w:i/>
          <w:sz w:val="16"/>
        </w:rPr>
        <w:t>Proc. International Conference on Learning Representations (ICLR)</w:t>
      </w:r>
      <w:r>
        <w:rPr>
          <w:rFonts w:ascii="Times New Roman" w:hAnsi="Times New Roman"/>
          <w:b w:val="0"/>
          <w:i w:val="0"/>
          <w:sz w:val="16"/>
        </w:rPr>
        <w:t>, 2019.</w:t>
      </w:r>
    </w:p>
    <w:p>
      <w:pPr>
        <w:keepNext w:val="0"/>
        <w:tabs>
          <w:tab w:pos="432" w:val="left"/>
        </w:tabs>
        <w:spacing w:before="0" w:after="20" w:line="240" w:lineRule="auto"/>
        <w:ind w:left="432" w:hanging="432"/>
        <w:jc w:val="both"/>
      </w:pPr>
      <w:r>
        <w:rPr>
          <w:rFonts w:ascii="Times New Roman" w:hAnsi="Times New Roman"/>
          <w:b w:val="0"/>
          <w:i w:val="0"/>
          <w:sz w:val="16"/>
        </w:rPr>
        <w:t>[37]</w:t>
        <w:tab/>
      </w:r>
      <w:r>
        <w:rPr>
          <w:rFonts w:ascii="Times New Roman" w:hAnsi="Times New Roman"/>
          <w:b w:val="0"/>
          <w:i w:val="0"/>
          <w:sz w:val="16"/>
        </w:rPr>
        <w:t xml:space="preserve">B. Efron and R. J. Tibshirani, </w:t>
      </w:r>
      <w:r>
        <w:rPr>
          <w:rFonts w:ascii="Times New Roman" w:hAnsi="Times New Roman"/>
          <w:b w:val="0"/>
          <w:i/>
          <w:sz w:val="16"/>
        </w:rPr>
        <w:t>An Introduction to the Bootstrap</w:t>
      </w:r>
      <w:r>
        <w:rPr>
          <w:rFonts w:ascii="Times New Roman" w:hAnsi="Times New Roman"/>
          <w:b w:val="0"/>
          <w:i w:val="0"/>
          <w:sz w:val="16"/>
        </w:rPr>
        <w:t>. New York: Chapman &amp; Hall, 1993.</w:t>
      </w:r>
    </w:p>
    <w:p>
      <w:pPr>
        <w:keepNext w:val="0"/>
        <w:tabs>
          <w:tab w:pos="432" w:val="left"/>
        </w:tabs>
        <w:spacing w:before="0" w:after="20" w:line="240" w:lineRule="auto"/>
        <w:ind w:left="432" w:hanging="432"/>
        <w:jc w:val="both"/>
      </w:pPr>
      <w:r>
        <w:rPr>
          <w:rFonts w:ascii="Times New Roman" w:hAnsi="Times New Roman"/>
          <w:b w:val="0"/>
          <w:i w:val="0"/>
          <w:sz w:val="16"/>
        </w:rPr>
        <w:t>[38]</w:t>
        <w:tab/>
      </w:r>
      <w:r>
        <w:rPr>
          <w:rFonts w:ascii="Times New Roman" w:hAnsi="Times New Roman"/>
          <w:b w:val="0"/>
          <w:i w:val="0"/>
          <w:sz w:val="16"/>
        </w:rPr>
        <w:t xml:space="preserve">J. G. MacKinnon and H. White, “Some heteroskedasticity-consistent covariance matrix estimators with improved finite sample properties,” </w:t>
      </w:r>
      <w:r>
        <w:rPr>
          <w:rFonts w:ascii="Times New Roman" w:hAnsi="Times New Roman"/>
          <w:b w:val="0"/>
          <w:i/>
          <w:sz w:val="16"/>
        </w:rPr>
        <w:t>Journal of Econometrics</w:t>
      </w:r>
      <w:r>
        <w:rPr>
          <w:rFonts w:ascii="Times New Roman" w:hAnsi="Times New Roman"/>
          <w:b w:val="0"/>
          <w:i w:val="0"/>
          <w:sz w:val="16"/>
        </w:rPr>
        <w:t>, vol. 29, no. 3, pp. 305–325, 1985.</w:t>
      </w:r>
    </w:p>
    <w:p>
      <w:pPr>
        <w:keepNext w:val="0"/>
        <w:tabs>
          <w:tab w:pos="432" w:val="left"/>
        </w:tabs>
        <w:spacing w:before="0" w:after="20" w:line="240" w:lineRule="auto"/>
        <w:ind w:left="432" w:hanging="432"/>
        <w:jc w:val="both"/>
      </w:pPr>
      <w:r>
        <w:rPr>
          <w:rFonts w:ascii="Times New Roman" w:hAnsi="Times New Roman"/>
          <w:b w:val="0"/>
          <w:i w:val="0"/>
          <w:sz w:val="16"/>
        </w:rPr>
        <w:t>[39]</w:t>
        <w:tab/>
      </w:r>
      <w:r>
        <w:rPr>
          <w:rFonts w:ascii="Times New Roman" w:hAnsi="Times New Roman"/>
          <w:b w:val="0"/>
          <w:i w:val="0"/>
          <w:sz w:val="16"/>
        </w:rPr>
        <w:t xml:space="preserve">M. Jenkinson, C. F. Beckmann, T. E. J. Behrens, M. W. Woolrich, and S. M. Smith, “FSL,” </w:t>
      </w:r>
      <w:r>
        <w:rPr>
          <w:rFonts w:ascii="Times New Roman" w:hAnsi="Times New Roman"/>
          <w:b w:val="0"/>
          <w:i/>
          <w:sz w:val="16"/>
        </w:rPr>
        <w:t>NeuroImage</w:t>
      </w:r>
      <w:r>
        <w:rPr>
          <w:rFonts w:ascii="Times New Roman" w:hAnsi="Times New Roman"/>
          <w:b w:val="0"/>
          <w:i w:val="0"/>
          <w:sz w:val="16"/>
        </w:rPr>
        <w:t>, vol. 62, no. 2, pp. 782–790, 2012.</w:t>
      </w:r>
    </w:p>
    <w:p>
      <w:pPr>
        <w:keepNext w:val="0"/>
        <w:tabs>
          <w:tab w:pos="432" w:val="left"/>
        </w:tabs>
        <w:spacing w:before="0" w:after="20" w:line="240" w:lineRule="auto"/>
        <w:ind w:left="432" w:hanging="432"/>
        <w:jc w:val="both"/>
      </w:pPr>
      <w:r>
        <w:rPr>
          <w:rFonts w:ascii="Times New Roman" w:hAnsi="Times New Roman"/>
          <w:b w:val="0"/>
          <w:i w:val="0"/>
          <w:sz w:val="16"/>
        </w:rPr>
        <w:t>[40]</w:t>
        <w:tab/>
      </w:r>
      <w:r>
        <w:rPr>
          <w:rFonts w:ascii="Times New Roman" w:hAnsi="Times New Roman"/>
          <w:b w:val="0"/>
          <w:i w:val="0"/>
          <w:sz w:val="16"/>
        </w:rPr>
        <w:t xml:space="preserve">Y. Benjamini and Y. Hochberg, “Controlling the false discovery rate: a practical and powerful approach to multiple testing,” </w:t>
      </w:r>
      <w:r>
        <w:rPr>
          <w:rFonts w:ascii="Times New Roman" w:hAnsi="Times New Roman"/>
          <w:b w:val="0"/>
          <w:i/>
          <w:sz w:val="16"/>
        </w:rPr>
        <w:t>Journal of the Royal Statistical Society: Series B</w:t>
      </w:r>
      <w:r>
        <w:rPr>
          <w:rFonts w:ascii="Times New Roman" w:hAnsi="Times New Roman"/>
          <w:b w:val="0"/>
          <w:i w:val="0"/>
          <w:sz w:val="16"/>
        </w:rPr>
        <w:t>, vol. 57, no. 1, pp. 289–300, 1995.</w:t>
      </w:r>
    </w:p>
    <w:p>
      <w:pPr>
        <w:keepNext w:val="0"/>
        <w:tabs>
          <w:tab w:pos="432" w:val="left"/>
        </w:tabs>
        <w:spacing w:before="0" w:after="20" w:line="240" w:lineRule="auto"/>
        <w:ind w:left="432" w:hanging="432"/>
        <w:jc w:val="both"/>
      </w:pPr>
      <w:r>
        <w:rPr>
          <w:rFonts w:ascii="Times New Roman" w:hAnsi="Times New Roman"/>
          <w:b w:val="0"/>
          <w:i w:val="0"/>
          <w:sz w:val="16"/>
        </w:rPr>
        <w:t>[41]</w:t>
        <w:tab/>
      </w:r>
      <w:r>
        <w:rPr>
          <w:rFonts w:ascii="Times New Roman" w:hAnsi="Times New Roman"/>
          <w:b w:val="0"/>
          <w:i w:val="0"/>
          <w:sz w:val="16"/>
        </w:rPr>
        <w:t xml:space="preserve">S. D. Forman, J. D. Cohen, M. Fitzgerald, W. F. Eddy, M. A. Mintun, and D. C. Noll, “Improved assessment of significant activation in functional magnetic resonance imaging (fMRI): use of a cluster-size threshold,” </w:t>
      </w:r>
      <w:r>
        <w:rPr>
          <w:rFonts w:ascii="Times New Roman" w:hAnsi="Times New Roman"/>
          <w:b w:val="0"/>
          <w:i/>
          <w:sz w:val="16"/>
        </w:rPr>
        <w:t>Magnetic Resonance in Medicine</w:t>
      </w:r>
      <w:r>
        <w:rPr>
          <w:rFonts w:ascii="Times New Roman" w:hAnsi="Times New Roman"/>
          <w:b w:val="0"/>
          <w:i w:val="0"/>
          <w:sz w:val="16"/>
        </w:rPr>
        <w:t>, vol. 33, no. 5, pp. 636–647, 1995.</w:t>
      </w:r>
    </w:p>
    <w:sectPr w:rsidR="00FC693F" w:rsidRPr="0006063C" w:rsidSect="00034616">
      <w:type w:val="continuous"/>
      <w:pgSz w:w="12240" w:h="15840"/>
      <w:pgMar w:top="1080" w:right="965" w:bottom="1440" w:left="965"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