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40" w:lineRule="auto"/>
        <w:jc w:val="center"/>
      </w:pPr>
      <w:r>
        <w:rPr>
          <w:rFonts w:ascii="Times New Roman" w:hAnsi="Times New Roman"/>
          <w:b w:val="0"/>
          <w:i w:val="0"/>
          <w:sz w:val="48"/>
        </w:rPr>
        <w:t>Not Just Scanner Bias: A Layered Audit of a Deep Brain-Age Model Beyond Accuracy</w:t>
      </w:r>
    </w:p>
    <w:tbl>
      <w:tblPr>
        <w:tblW w:type="auto" w:w="0"/>
        <w:jc w:val="center"/>
        <w:tblLook w:firstColumn="1" w:firstRow="1" w:lastColumn="0" w:lastRow="0" w:noHBand="0" w:noVBand="1" w:val="04A0"/>
      </w:tblPr>
      <w:tblGrid>
        <w:gridCol w:w="3437"/>
        <w:gridCol w:w="3437"/>
        <w:gridCol w:w="3437"/>
      </w:tblGrid>
      <w:tr>
        <w:tc>
          <w:tcPr>
            <w:tcW w:type="dxa" w:w="3437"/>
          </w:tcPr>
          <w:p>
            <w:pPr>
              <w:jc w:val="center"/>
            </w:pPr>
            <w:r>
              <w:rPr>
                <w:sz w:val="22"/>
              </w:rPr>
              <w:t>Adharshan N*</w:t>
            </w:r>
          </w:p>
          <w:p>
            <w:pPr>
              <w:jc w:val="center"/>
            </w:pPr>
            <w:r>
              <w:rPr>
                <w:i/>
                <w:sz w:val="18"/>
              </w:rPr>
              <w:t>School of Computer Science and Engineering</w:t>
            </w:r>
          </w:p>
          <w:p>
            <w:pPr>
              <w:jc w:val="center"/>
            </w:pPr>
            <w:r>
              <w:rPr>
                <w:i/>
                <w:sz w:val="18"/>
              </w:rPr>
              <w:t>Vellore Institute of Technology</w:t>
            </w:r>
          </w:p>
          <w:p>
            <w:pPr>
              <w:jc w:val="center"/>
            </w:pPr>
            <w:r>
              <w:rPr>
                <w:i w:val="0"/>
                <w:sz w:val="18"/>
              </w:rPr>
              <w:t>Chennai, India</w:t>
            </w:r>
          </w:p>
          <w:p>
            <w:pPr>
              <w:jc w:val="center"/>
            </w:pPr>
            <w:r>
              <w:rPr>
                <w:i w:val="0"/>
                <w:sz w:val="18"/>
              </w:rPr>
              <w:t>adharshan2706@gmail.com</w:t>
            </w:r>
          </w:p>
        </w:tc>
        <w:tc>
          <w:tcPr>
            <w:tcW w:type="dxa" w:w="3437"/>
          </w:tcPr>
          <w:p>
            <w:pPr>
              <w:jc w:val="center"/>
            </w:pPr>
            <w:r>
              <w:rPr>
                <w:sz w:val="22"/>
              </w:rPr>
              <w:t>Jaaiwanth K*</w:t>
            </w:r>
          </w:p>
          <w:p>
            <w:pPr>
              <w:jc w:val="center"/>
            </w:pPr>
            <w:r>
              <w:rPr>
                <w:i/>
                <w:sz w:val="18"/>
              </w:rPr>
              <w:t>School of Computer Science and Engineering</w:t>
            </w:r>
          </w:p>
          <w:p>
            <w:pPr>
              <w:jc w:val="center"/>
            </w:pPr>
            <w:r>
              <w:rPr>
                <w:i/>
                <w:sz w:val="18"/>
              </w:rPr>
              <w:t>Vellore Institute of Technology</w:t>
            </w:r>
          </w:p>
          <w:p>
            <w:pPr>
              <w:jc w:val="center"/>
            </w:pPr>
            <w:r>
              <w:rPr>
                <w:i w:val="0"/>
                <w:sz w:val="18"/>
              </w:rPr>
              <w:t>Chennai, India</w:t>
            </w:r>
          </w:p>
          <w:p>
            <w:pPr>
              <w:jc w:val="center"/>
            </w:pPr>
            <w:r>
              <w:rPr>
                <w:i w:val="0"/>
                <w:sz w:val="18"/>
              </w:rPr>
              <w:t>jaaiwanth90@gmail.com</w:t>
            </w:r>
          </w:p>
        </w:tc>
        <w:tc>
          <w:tcPr>
            <w:tcW w:type="dxa" w:w="3437"/>
          </w:tcPr>
          <w:p>
            <w:pPr>
              <w:jc w:val="center"/>
            </w:pPr>
            <w:r>
              <w:rPr>
                <w:sz w:val="22"/>
              </w:rPr>
              <w:t>Shridevi S†</w:t>
            </w:r>
          </w:p>
          <w:p>
            <w:pPr>
              <w:jc w:val="center"/>
            </w:pPr>
            <w:r>
              <w:rPr>
                <w:i/>
                <w:sz w:val="18"/>
              </w:rPr>
              <w:t>Centre for Neuroinformatics</w:t>
            </w:r>
          </w:p>
          <w:p>
            <w:pPr>
              <w:jc w:val="center"/>
            </w:pPr>
            <w:r>
              <w:rPr>
                <w:i/>
                <w:sz w:val="18"/>
              </w:rPr>
              <w:t>Vellore Institute of Technology</w:t>
            </w:r>
          </w:p>
          <w:p>
            <w:pPr>
              <w:jc w:val="center"/>
            </w:pPr>
            <w:r>
              <w:rPr>
                <w:i w:val="0"/>
                <w:sz w:val="18"/>
              </w:rPr>
              <w:t>Chennai, India</w:t>
            </w:r>
          </w:p>
          <w:p>
            <w:pPr>
              <w:jc w:val="center"/>
            </w:pPr>
            <w:r>
              <w:rPr>
                <w:i w:val="0"/>
                <w:sz w:val="18"/>
              </w:rPr>
              <w:t>[faculty email]</w:t>
            </w:r>
          </w:p>
        </w:tc>
      </w:tr>
    </w:tbl>
    <w:p>
      <w:pPr>
        <w:keepNext w:val="0"/>
        <w:spacing w:before="80" w:after="160" w:line="240" w:lineRule="auto"/>
        <w:jc w:val="center"/>
      </w:pPr>
      <w:r>
        <w:rPr>
          <w:rFonts w:ascii="Times New Roman" w:hAnsi="Times New Roman"/>
          <w:b w:val="0"/>
          <w:i/>
          <w:sz w:val="16"/>
        </w:rPr>
        <w:t>*Equal contribution.  †Corresponding author.</w:t>
      </w:r>
    </w:p>
    <w:p>
      <w:pPr>
        <w:sectPr>
          <w:pgSz w:w="12240" w:h="15840"/>
          <w:pgMar w:top="1080" w:right="965" w:bottom="1440" w:left="965" w:header="720" w:footer="720" w:gutter="0"/>
          <w:cols w:space="720"/>
          <w:docGrid w:linePitch="360"/>
        </w:sectPr>
      </w:pPr>
    </w:p>
    <w:p>
      <w:pPr>
        <w:keepNext w:val="0"/>
        <w:spacing w:before="0" w:after="120" w:line="240" w:lineRule="auto"/>
        <w:jc w:val="both"/>
      </w:pPr>
      <w:r>
        <w:rPr>
          <w:rFonts w:ascii="Times New Roman" w:hAnsi="Times New Roman"/>
          <w:b/>
          <w:i/>
          <w:sz w:val="18"/>
        </w:rPr>
        <w:t>Abstract</w:t>
      </w:r>
      <w:r>
        <w:rPr>
          <w:rFonts w:ascii="Times New Roman" w:hAnsi="Times New Roman"/>
          <w:b/>
          <w:i w:val="0"/>
          <w:sz w:val="18"/>
        </w:rPr>
        <w:t>—</w:t>
      </w:r>
      <w:r>
        <w:rPr>
          <w:rFonts w:ascii="Times New Roman" w:hAnsi="Times New Roman"/>
          <w:b/>
          <w:i w:val="0"/>
          <w:sz w:val="18"/>
        </w:rPr>
        <w:t xml:space="preserve">Brain-age models predict chronological age from structural MRI, and the brain-age gap is studied as a marker of brain health. When such a model shows a disparity between acquisition sites, the disparity is often attributed to scanner differences without a test. We present a layered, pre-specified audit of a UK Biobank-pretrained SFCN fine-tuned on 485 T1-weighted IXI scans from three London sites. The model is accurate (test MAE 3.71 years, </w:t>
      </w:r>
      <w:r>
        <w:rPr>
          <w:rFonts w:ascii="Times New Roman" w:hAnsi="Times New Roman"/>
          <w:b/>
          <w:i w:val="0"/>
          <w:sz w:val="18"/>
        </w:rPr>
        <w:t>r=0.966</w:t>
      </w:r>
      <w:r>
        <w:rPr>
          <w:rFonts w:ascii="Times New Roman" w:hAnsi="Times New Roman"/>
          <w:b/>
          <w:i w:val="0"/>
          <w:sz w:val="18"/>
        </w:rPr>
        <w:t xml:space="preserve">) and its errors do not differ by sex (equivalence within </w:t>
      </w:r>
      <w:r>
        <w:rPr>
          <w:rFonts w:ascii="Times New Roman" w:hAnsi="Times New Roman"/>
          <w:b/>
          <w:i w:val="0"/>
          <w:sz w:val="18"/>
        </w:rPr>
        <w:t>±2</w:t>
      </w:r>
      <w:r>
        <w:rPr>
          <w:rFonts w:ascii="Times New Roman" w:hAnsi="Times New Roman"/>
          <w:b/>
          <w:i w:val="0"/>
          <w:sz w:val="18"/>
        </w:rPr>
        <w:t xml:space="preserve"> years). Scans from one site (IOP) receive a brain-age gap about 4–5 years lower than the reference site. The offset replicates across splits and in 5-fold cross-validation over all 412 non-test subjects ([CV IOP offset, n=61]), survives eight ways of handling age, including age matching and a nonlinear adjustment, and is already present in the pretrained model before any training on IXI (</w:t>
      </w:r>
      <w:r>
        <w:rPr>
          <w:rFonts w:ascii="Times New Roman" w:hAnsi="Times New Roman"/>
          <w:b/>
          <w:i w:val="0"/>
          <w:sz w:val="18"/>
        </w:rPr>
        <w:t>−3.3</w:t>
      </w:r>
      <w:r>
        <w:rPr>
          <w:rFonts w:ascii="Times New Roman" w:hAnsi="Times New Roman"/>
          <w:b/>
          <w:i w:val="0"/>
          <w:sz w:val="18"/>
        </w:rPr>
        <w:t xml:space="preserve"> years, </w:t>
      </w:r>
      <w:r>
        <w:rPr>
          <w:rFonts w:ascii="Times New Roman" w:hAnsi="Times New Roman"/>
          <w:b/>
          <w:i w:val="0"/>
          <w:sz w:val="18"/>
        </w:rPr>
        <w:t>p=5×10⁻⁶</w:t>
      </w:r>
      <w:r>
        <w:rPr>
          <w:rFonts w:ascii="Times New Roman" w:hAnsi="Times New Roman"/>
          <w:b/>
          <w:i w:val="0"/>
          <w:sz w:val="18"/>
        </w:rPr>
        <w:t>). The model is sensitive to acquisition appearance: the site is linearly decodable from its features (91% vs a 50% permutation ceiling), and giving Hammersmith brains IOP's intensity appearance lowers their predicted age by 3.9 years. Yet this sensitivity does not explain the disparity: intensity, matched image smoothness, head size, education, BMI, ethnicity, and removing site information from the features with ComBat, ComBat-GAM or age-conditional concept erasure all leave the offset in place. Naive concept erasure appears to remove it only by also erasing age information. Attribution maps pass randomisation and deletion tests under two baselines, and conformal intervals give valid coverage per site. We summarise the audit as a protocol-based fairness passport with graded, pre-specified verdicts.</w:t>
      </w:r>
    </w:p>
    <w:p>
      <w:pPr>
        <w:keepNext w:val="0"/>
        <w:spacing w:before="0" w:after="120" w:line="240" w:lineRule="auto"/>
        <w:jc w:val="both"/>
      </w:pPr>
      <w:r>
        <w:rPr>
          <w:rFonts w:ascii="Times New Roman" w:hAnsi="Times New Roman"/>
          <w:b/>
          <w:i/>
          <w:sz w:val="18"/>
        </w:rPr>
        <w:t>Index Terms</w:t>
      </w:r>
      <w:r>
        <w:rPr>
          <w:rFonts w:ascii="Times New Roman" w:hAnsi="Times New Roman"/>
          <w:b/>
          <w:i w:val="0"/>
          <w:sz w:val="18"/>
        </w:rPr>
        <w:t>—Brain age, MRI, fairness, site effects, shortcut learning, explainable AI, harmonisation, conformal prediction.</w:t>
      </w:r>
    </w:p>
    <w:p>
      <w:pPr>
        <w:keepNext/>
        <w:spacing w:before="160" w:after="80" w:line="240" w:lineRule="auto"/>
        <w:jc w:val="center"/>
      </w:pPr>
      <w:r>
        <w:rPr>
          <w:rFonts w:ascii="Times New Roman" w:hAnsi="Times New Roman"/>
          <w:b w:val="0"/>
          <w:i w:val="0"/>
          <w:sz w:val="19"/>
        </w:rPr>
        <w:t>I. INTRODUCTION</w:t>
      </w:r>
    </w:p>
    <w:p>
      <w:pPr>
        <w:keepNext w:val="0"/>
        <w:spacing w:before="0" w:after="40" w:line="240" w:lineRule="auto"/>
        <w:ind w:firstLine="245"/>
        <w:jc w:val="both"/>
      </w:pPr>
      <w:r>
        <w:rPr>
          <w:rFonts w:ascii="Times New Roman" w:hAnsi="Times New Roman"/>
          <w:b w:val="0"/>
          <w:i w:val="0"/>
          <w:sz w:val="20"/>
        </w:rPr>
        <w:t xml:space="preserve">Brain-age models learn to predict a person's chronological age from a structural MRI scan </w:t>
      </w:r>
      <w:r>
        <w:rPr>
          <w:rFonts w:ascii="Times New Roman" w:hAnsi="Times New Roman"/>
          <w:b w:val="0"/>
          <w:i w:val="0"/>
          <w:sz w:val="20"/>
        </w:rPr>
        <w:t>[1], [2]</w:t>
      </w:r>
      <w:r>
        <w:rPr>
          <w:rFonts w:ascii="Times New Roman" w:hAnsi="Times New Roman"/>
          <w:b w:val="0"/>
          <w:i w:val="0"/>
          <w:sz w:val="20"/>
        </w:rPr>
        <w:t xml:space="preserve">. The brain-age gap (BAG) between predicted and chronological age is interpreted as accelerated or delayed brain ageing and has been associated with mortality and neurological disease </w:t>
      </w:r>
      <w:r>
        <w:rPr>
          <w:rFonts w:ascii="Times New Roman" w:hAnsi="Times New Roman"/>
          <w:b w:val="0"/>
          <w:i w:val="0"/>
          <w:sz w:val="20"/>
        </w:rPr>
        <w:t>[3]</w:t>
      </w:r>
      <w:r>
        <w:rPr>
          <w:rFonts w:ascii="Times New Roman" w:hAnsi="Times New Roman"/>
          <w:b w:val="0"/>
          <w:i w:val="0"/>
          <w:sz w:val="20"/>
        </w:rPr>
        <w:t xml:space="preserve">. Deep convolutional networks predict age with errors of a few years </w:t>
      </w:r>
      <w:r>
        <w:rPr>
          <w:rFonts w:ascii="Times New Roman" w:hAnsi="Times New Roman"/>
          <w:b w:val="0"/>
          <w:i w:val="0"/>
          <w:sz w:val="20"/>
        </w:rPr>
        <w:t>[4]–[7]</w:t>
      </w:r>
      <w:r>
        <w:rPr>
          <w:rFonts w:ascii="Times New Roman" w:hAnsi="Times New Roman"/>
          <w:b w:val="0"/>
          <w:i w:val="0"/>
          <w:sz w:val="20"/>
        </w:rPr>
        <w:t>.</w:t>
      </w:r>
    </w:p>
    <w:p>
      <w:pPr>
        <w:keepNext w:val="0"/>
        <w:spacing w:before="0" w:after="40" w:line="240" w:lineRule="auto"/>
        <w:ind w:firstLine="245"/>
        <w:jc w:val="both"/>
      </w:pPr>
      <w:r>
        <w:rPr>
          <w:rFonts w:ascii="Times New Roman" w:hAnsi="Times New Roman"/>
          <w:b w:val="0"/>
          <w:i w:val="0"/>
          <w:sz w:val="20"/>
        </w:rPr>
        <w:t xml:space="preserve">Accuracy alone does not make a model trustworthy. A model can be accurate on average and biased for a subgroup </w:t>
      </w:r>
      <w:r>
        <w:rPr>
          <w:rFonts w:ascii="Times New Roman" w:hAnsi="Times New Roman"/>
          <w:b w:val="0"/>
          <w:i w:val="0"/>
          <w:sz w:val="20"/>
        </w:rPr>
        <w:t>[8]–[11]</w:t>
      </w:r>
      <w:r>
        <w:rPr>
          <w:rFonts w:ascii="Times New Roman" w:hAnsi="Times New Roman"/>
          <w:b w:val="0"/>
          <w:i w:val="0"/>
          <w:sz w:val="20"/>
        </w:rPr>
        <w:t xml:space="preserve">; it can exploit non-biological shortcuts such as hospital-specific acquisition properties </w:t>
      </w:r>
      <w:r>
        <w:rPr>
          <w:rFonts w:ascii="Times New Roman" w:hAnsi="Times New Roman"/>
          <w:b w:val="0"/>
          <w:i w:val="0"/>
          <w:sz w:val="20"/>
        </w:rPr>
        <w:t>[12]–[14]</w:t>
      </w:r>
      <w:r>
        <w:rPr>
          <w:rFonts w:ascii="Times New Roman" w:hAnsi="Times New Roman"/>
          <w:b w:val="0"/>
          <w:i w:val="0"/>
          <w:sz w:val="20"/>
        </w:rPr>
        <w:t xml:space="preserve">; and the explanations used to inspect it can themselves be unfaithful </w:t>
      </w:r>
      <w:r>
        <w:rPr>
          <w:rFonts w:ascii="Times New Roman" w:hAnsi="Times New Roman"/>
          <w:b w:val="0"/>
          <w:i w:val="0"/>
          <w:sz w:val="20"/>
        </w:rPr>
        <w:t>[15], [16]</w:t>
      </w:r>
      <w:r>
        <w:rPr>
          <w:rFonts w:ascii="Times New Roman" w:hAnsi="Times New Roman"/>
          <w:b w:val="0"/>
          <w:i w:val="0"/>
          <w:sz w:val="20"/>
        </w:rPr>
        <w:t xml:space="preserve">. In multi-site MRI, scanner differences are a well-known source of site effects </w:t>
      </w:r>
      <w:r>
        <w:rPr>
          <w:rFonts w:ascii="Times New Roman" w:hAnsi="Times New Roman"/>
          <w:b w:val="0"/>
          <w:i w:val="0"/>
          <w:sz w:val="20"/>
        </w:rPr>
        <w:t>[17]–[19]</w:t>
      </w:r>
      <w:r>
        <w:rPr>
          <w:rFonts w:ascii="Times New Roman" w:hAnsi="Times New Roman"/>
          <w:b w:val="0"/>
          <w:i w:val="0"/>
          <w:sz w:val="20"/>
        </w:rPr>
        <w:t xml:space="preserve">, and differences in brain-age gap between datasets can largely reflect their age distributions </w:t>
      </w:r>
      <w:r>
        <w:rPr>
          <w:rFonts w:ascii="Times New Roman" w:hAnsi="Times New Roman"/>
          <w:b w:val="0"/>
          <w:i w:val="0"/>
          <w:sz w:val="20"/>
        </w:rPr>
        <w:t>[20]</w:t>
      </w:r>
      <w:r>
        <w:rPr>
          <w:rFonts w:ascii="Times New Roman" w:hAnsi="Times New Roman"/>
          <w:b w:val="0"/>
          <w:i w:val="0"/>
          <w:sz w:val="20"/>
        </w:rPr>
        <w:t>.</w:t>
      </w:r>
    </w:p>
    <w:p>
      <w:pPr>
        <w:keepNext w:val="0"/>
        <w:spacing w:before="0" w:after="40" w:line="240" w:lineRule="auto"/>
        <w:ind w:firstLine="245"/>
        <w:jc w:val="both"/>
      </w:pPr>
      <w:r>
        <w:rPr>
          <w:rFonts w:ascii="Times New Roman" w:hAnsi="Times New Roman"/>
          <w:b w:val="0"/>
          <w:i w:val="0"/>
          <w:sz w:val="20"/>
        </w:rPr>
        <w:t>These concerns meet in a common situation: a brain-age model shows a disparity between sites, and the disparity is attributed to the scanner. That attribution is rarely tested. We audit a widely used network on the public IXI dataset and treat “scanner bias” as a hypothesis to be tested rather than assumed. Our narrative follows the evidence: (1) the model is accurate; (2) it shows a replicated site disparity that is not an artefact of age handling and exists before fine-tuning; (3) the model is sensitive to acquisition appearance; (4) but that sensitivity does not explain the disparity; (5) a disparity should therefore not be labelled scanner bias without such tests.</w:t>
      </w:r>
    </w:p>
    <w:p>
      <w:pPr>
        <w:keepNext w:val="0"/>
        <w:spacing w:before="0" w:after="40" w:line="240" w:lineRule="auto"/>
        <w:ind w:firstLine="245"/>
        <w:jc w:val="both"/>
      </w:pPr>
      <w:r>
        <w:rPr>
          <w:rFonts w:ascii="Times New Roman" w:hAnsi="Times New Roman"/>
          <w:b w:val="0"/>
          <w:i w:val="0"/>
          <w:sz w:val="20"/>
        </w:rPr>
        <w:t>Our contributions are:</w:t>
      </w:r>
    </w:p>
    <w:p>
      <w:pPr>
        <w:keepNext w:val="0"/>
        <w:spacing w:before="0" w:after="20" w:line="240" w:lineRule="auto"/>
        <w:ind w:left="288" w:hanging="216"/>
        <w:jc w:val="both"/>
      </w:pPr>
      <w:r>
        <w:rPr>
          <w:rFonts w:ascii="Times New Roman" w:hAnsi="Times New Roman"/>
          <w:b w:val="0"/>
          <w:i w:val="0"/>
          <w:sz w:val="20"/>
        </w:rPr>
        <w:t xml:space="preserve">•  </w:t>
      </w:r>
      <w:r>
        <w:rPr>
          <w:rFonts w:ascii="Times New Roman" w:hAnsi="Times New Roman"/>
          <w:b w:val="0"/>
          <w:i w:val="0"/>
          <w:sz w:val="20"/>
        </w:rPr>
        <w:t xml:space="preserve">A pre-specified, layered audit protocol (Fig. </w:t>
      </w:r>
      <w:r>
        <w:rPr>
          <w:rFonts w:ascii="Times New Roman" w:hAnsi="Times New Roman"/>
          <w:b w:val="0"/>
          <w:i w:val="0"/>
          <w:sz w:val="20"/>
        </w:rPr>
        <w:t>1</w:t>
      </w:r>
      <w:r>
        <w:rPr>
          <w:rFonts w:ascii="Times New Roman" w:hAnsi="Times New Roman"/>
          <w:b w:val="0"/>
          <w:i w:val="0"/>
          <w:sz w:val="20"/>
        </w:rPr>
        <w:t xml:space="preserve">) with graded verdicts based on equivalence tests, minimum detectable effects and replication, released as a reusable passport schema in the spirit of model cards </w:t>
      </w:r>
      <w:r>
        <w:rPr>
          <w:rFonts w:ascii="Times New Roman" w:hAnsi="Times New Roman"/>
          <w:b w:val="0"/>
          <w:i w:val="0"/>
          <w:sz w:val="20"/>
        </w:rPr>
        <w:t>[21]</w:t>
      </w:r>
      <w:r>
        <w:rPr>
          <w:rFonts w:ascii="Times New Roman" w:hAnsi="Times New Roman"/>
          <w:b w:val="0"/>
          <w:i w:val="0"/>
          <w:sz w:val="20"/>
        </w:rPr>
        <w:t>.</w:t>
      </w:r>
    </w:p>
    <w:p>
      <w:pPr>
        <w:keepNext w:val="0"/>
        <w:spacing w:before="0" w:after="20" w:line="240" w:lineRule="auto"/>
        <w:ind w:left="288" w:hanging="216"/>
        <w:jc w:val="both"/>
      </w:pPr>
      <w:r>
        <w:rPr>
          <w:rFonts w:ascii="Times New Roman" w:hAnsi="Times New Roman"/>
          <w:b w:val="0"/>
          <w:i w:val="0"/>
          <w:sz w:val="20"/>
        </w:rPr>
        <w:t xml:space="preserve">•  </w:t>
      </w:r>
      <w:r>
        <w:rPr>
          <w:rFonts w:ascii="Times New Roman" w:hAnsi="Times New Roman"/>
          <w:b w:val="0"/>
          <w:i w:val="0"/>
          <w:sz w:val="20"/>
        </w:rPr>
        <w:t>A site disparity shown to be robust to eight age-handling choices, to cross-validation over all non-test subjects and to independent training runs, and present in the pretrained model before any exposure to IXI.</w:t>
      </w:r>
    </w:p>
    <w:p>
      <w:pPr>
        <w:keepNext w:val="0"/>
        <w:spacing w:before="0" w:after="20" w:line="240" w:lineRule="auto"/>
        <w:ind w:left="288" w:hanging="216"/>
        <w:jc w:val="both"/>
      </w:pPr>
      <w:r>
        <w:rPr>
          <w:rFonts w:ascii="Times New Roman" w:hAnsi="Times New Roman"/>
          <w:b w:val="0"/>
          <w:i w:val="0"/>
          <w:sz w:val="20"/>
        </w:rPr>
        <w:t xml:space="preserve">•  </w:t>
      </w:r>
      <w:r>
        <w:rPr>
          <w:rFonts w:ascii="Times New Roman" w:hAnsi="Times New Roman"/>
          <w:b w:val="0"/>
          <w:i w:val="0"/>
          <w:sz w:val="20"/>
        </w:rPr>
        <w:t>Direct evidence of acquisition sensitivity (site decodability against a permutation null; an age- and sex-standardised intensity-swap stress test), and a systematic rule-out showing that neither acquisition properties we can measure nor recorded cohort characteristics explain the disparity.</w:t>
      </w:r>
    </w:p>
    <w:p>
      <w:pPr>
        <w:keepNext w:val="0"/>
        <w:spacing w:before="0" w:after="20" w:line="240" w:lineRule="auto"/>
        <w:ind w:left="288" w:hanging="216"/>
        <w:jc w:val="both"/>
      </w:pPr>
      <w:r>
        <w:rPr>
          <w:rFonts w:ascii="Times New Roman" w:hAnsi="Times New Roman"/>
          <w:b w:val="0"/>
          <w:i w:val="0"/>
          <w:sz w:val="20"/>
        </w:rPr>
        <w:t xml:space="preserve">•  </w:t>
      </w:r>
      <w:r>
        <w:rPr>
          <w:rFonts w:ascii="Times New Roman" w:hAnsi="Times New Roman"/>
          <w:b w:val="0"/>
          <w:i w:val="0"/>
          <w:sz w:val="20"/>
        </w:rPr>
        <w:t>A methodological warning: concept erasure that ignores the age–site confound appears to remove the disparity by removing age information.</w:t>
      </w:r>
    </w:p>
    <w:p>
      <w:pPr>
        <w:keepNext w:val="0"/>
        <w:spacing w:before="0" w:after="20" w:line="240" w:lineRule="auto"/>
        <w:ind w:left="288" w:hanging="216"/>
        <w:jc w:val="both"/>
      </w:pPr>
      <w:r>
        <w:rPr>
          <w:rFonts w:ascii="Times New Roman" w:hAnsi="Times New Roman"/>
          <w:b w:val="0"/>
          <w:i w:val="0"/>
          <w:sz w:val="20"/>
        </w:rPr>
        <w:t xml:space="preserve">•  </w:t>
      </w:r>
      <w:r>
        <w:rPr>
          <w:rFonts w:ascii="Times New Roman" w:hAnsi="Times New Roman"/>
          <w:b w:val="0"/>
          <w:i w:val="0"/>
          <w:sz w:val="20"/>
        </w:rPr>
        <w:t>Validated explanations and uncertainty: attribution maps tested under two deletion baselines and against Integrated Gradients, and conformal intervals with per-site (Mondrian) coverage.</w:t>
      </w:r>
    </w:p>
    <w:p>
      <w:pPr>
        <w:sectPr>
          <w:type w:val="continuous"/>
          <w:pgSz w:w="12240" w:h="15840"/>
          <w:pgMar w:top="1080" w:right="965" w:bottom="1440" w:left="965" w:header="720" w:footer="720" w:gutter="0"/>
          <w:cols w:space="360" w:num="2"/>
          <w:docGrid w:linePitch="360"/>
        </w:sectPr>
      </w:pPr>
    </w:p>
    <w:p>
      <w:pPr>
        <w:keepNext/>
        <w:jc w:val="center"/>
      </w:pPr>
      <w:r>
        <w:drawing>
          <wp:inline xmlns:a="http://schemas.openxmlformats.org/drawingml/2006/main" xmlns:pic="http://schemas.openxmlformats.org/drawingml/2006/picture">
            <wp:extent cx="6547104" cy="2286170"/>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6547104" cy="2286170"/>
                    </a:xfrm>
                    <a:prstGeom prst="rect"/>
                  </pic:spPr>
                </pic:pic>
              </a:graphicData>
            </a:graphic>
          </wp:inline>
        </w:drawing>
      </w:r>
    </w:p>
    <w:p>
      <w:pPr>
        <w:keepNext w:val="0"/>
        <w:spacing w:before="0" w:after="160" w:line="240" w:lineRule="auto"/>
        <w:jc w:val="center"/>
      </w:pPr>
      <w:r>
        <w:rPr>
          <w:rFonts w:ascii="Times New Roman" w:hAnsi="Times New Roman"/>
          <w:b w:val="0"/>
          <w:i w:val="0"/>
          <w:sz w:val="16"/>
        </w:rPr>
        <w:t xml:space="preserve">Fig. 1.  </w:t>
      </w:r>
      <w:r>
        <w:rPr>
          <w:rFonts w:ascii="Times New Roman" w:hAnsi="Times New Roman"/>
          <w:b w:val="0"/>
          <w:i w:val="0"/>
          <w:sz w:val="16"/>
        </w:rPr>
        <w:t>Overview of the audit. The fine-tuned SFCN is frozen and audited on held-out subjects; cross-validated models over all non-test subjects provide the primary estimates for group effects, and four audit layers are summarised as a protocol-based fairness passport.</w:t>
      </w:r>
    </w:p>
    <w:p>
      <w:pPr>
        <w:sectPr>
          <w:type w:val="continuous"/>
          <w:pgSz w:w="12240" w:h="15840"/>
          <w:pgMar w:top="1080" w:right="965" w:bottom="1440" w:left="965" w:header="720" w:footer="720" w:gutter="0"/>
          <w:cols w:space="360" w:num="1"/>
          <w:docGrid w:linePitch="360"/>
        </w:sectPr>
      </w:pPr>
    </w:p>
    <w:p>
      <w:pPr>
        <w:keepNext/>
        <w:spacing w:before="160" w:after="80" w:line="240" w:lineRule="auto"/>
        <w:jc w:val="center"/>
      </w:pPr>
      <w:r>
        <w:rPr>
          <w:rFonts w:ascii="Times New Roman" w:hAnsi="Times New Roman"/>
          <w:b w:val="0"/>
          <w:i w:val="0"/>
          <w:sz w:val="19"/>
        </w:rPr>
        <w:t>II. RELATED WORK</w:t>
      </w:r>
    </w:p>
    <w:p>
      <w:pPr>
        <w:keepNext w:val="0"/>
        <w:spacing w:before="0" w:after="40" w:line="240" w:lineRule="auto"/>
        <w:ind w:firstLine="245"/>
        <w:jc w:val="both"/>
      </w:pPr>
      <w:r>
        <w:rPr>
          <w:rFonts w:ascii="Times New Roman" w:hAnsi="Times New Roman"/>
          <w:b/>
          <w:i w:val="0"/>
          <w:sz w:val="20"/>
        </w:rPr>
        <w:t>Brain-age prediction.</w:t>
      </w:r>
      <w:r>
        <w:rPr>
          <w:rFonts w:ascii="Times New Roman" w:hAnsi="Times New Roman"/>
          <w:b w:val="0"/>
          <w:i w:val="0"/>
          <w:sz w:val="20"/>
        </w:rPr>
        <w:t xml:space="preserve"> Deep 3D CNNs trained on raw images </w:t>
      </w:r>
      <w:r>
        <w:rPr>
          <w:rFonts w:ascii="Times New Roman" w:hAnsi="Times New Roman"/>
          <w:b w:val="0"/>
          <w:i w:val="0"/>
          <w:sz w:val="20"/>
        </w:rPr>
        <w:t>[4]</w:t>
      </w:r>
      <w:r>
        <w:rPr>
          <w:rFonts w:ascii="Times New Roman" w:hAnsi="Times New Roman"/>
          <w:b w:val="0"/>
          <w:i w:val="0"/>
          <w:sz w:val="20"/>
        </w:rPr>
        <w:t xml:space="preserve">, DeepBrainNet </w:t>
      </w:r>
      <w:r>
        <w:rPr>
          <w:rFonts w:ascii="Times New Roman" w:hAnsi="Times New Roman"/>
          <w:b w:val="0"/>
          <w:i w:val="0"/>
          <w:sz w:val="20"/>
        </w:rPr>
        <w:t>[6]</w:t>
      </w:r>
      <w:r>
        <w:rPr>
          <w:rFonts w:ascii="Times New Roman" w:hAnsi="Times New Roman"/>
          <w:b w:val="0"/>
          <w:i w:val="0"/>
          <w:sz w:val="20"/>
        </w:rPr>
        <w:t xml:space="preserve">, the lightweight SFCN </w:t>
      </w:r>
      <w:r>
        <w:rPr>
          <w:rFonts w:ascii="Times New Roman" w:hAnsi="Times New Roman"/>
          <w:b w:val="0"/>
          <w:i w:val="0"/>
          <w:sz w:val="20"/>
        </w:rPr>
        <w:t>[5]</w:t>
      </w:r>
      <w:r>
        <w:rPr>
          <w:rFonts w:ascii="Times New Roman" w:hAnsi="Times New Roman"/>
          <w:b w:val="0"/>
          <w:i w:val="0"/>
          <w:sz w:val="20"/>
        </w:rPr>
        <w:t xml:space="preserve"> and its multi-cohort descendants </w:t>
      </w:r>
      <w:r>
        <w:rPr>
          <w:rFonts w:ascii="Times New Roman" w:hAnsi="Times New Roman"/>
          <w:b w:val="0"/>
          <w:i w:val="0"/>
          <w:sz w:val="20"/>
        </w:rPr>
        <w:t>[7]</w:t>
      </w:r>
      <w:r>
        <w:rPr>
          <w:rFonts w:ascii="Times New Roman" w:hAnsi="Times New Roman"/>
          <w:b w:val="0"/>
          <w:i w:val="0"/>
          <w:sz w:val="20"/>
        </w:rPr>
        <w:t xml:space="preserve"> predict age within a few years. Brain-age estimates regress towards the mean age, so a bias correction is standard; whether to correct the prediction or include age as a covariate remains debated </w:t>
      </w:r>
      <w:r>
        <w:rPr>
          <w:rFonts w:ascii="Times New Roman" w:hAnsi="Times New Roman"/>
          <w:b w:val="0"/>
          <w:i w:val="0"/>
          <w:sz w:val="20"/>
        </w:rPr>
        <w:t>[22]–[24]</w:t>
      </w:r>
      <w:r>
        <w:rPr>
          <w:rFonts w:ascii="Times New Roman" w:hAnsi="Times New Roman"/>
          <w:b w:val="0"/>
          <w:i w:val="0"/>
          <w:sz w:val="20"/>
        </w:rPr>
        <w:t>.</w:t>
      </w:r>
    </w:p>
    <w:p>
      <w:pPr>
        <w:keepNext w:val="0"/>
        <w:spacing w:before="0" w:after="40" w:line="240" w:lineRule="auto"/>
        <w:ind w:firstLine="245"/>
        <w:jc w:val="both"/>
      </w:pPr>
      <w:r>
        <w:rPr>
          <w:rFonts w:ascii="Times New Roman" w:hAnsi="Times New Roman"/>
          <w:b/>
          <w:i w:val="0"/>
          <w:sz w:val="20"/>
        </w:rPr>
        <w:t>Fairness and shortcuts in medical imaging.</w:t>
      </w:r>
      <w:r>
        <w:rPr>
          <w:rFonts w:ascii="Times New Roman" w:hAnsi="Times New Roman"/>
          <w:b w:val="0"/>
          <w:i w:val="0"/>
          <w:sz w:val="20"/>
        </w:rPr>
        <w:t xml:space="preserve"> Imbalanced data produce biased classifiers </w:t>
      </w:r>
      <w:r>
        <w:rPr>
          <w:rFonts w:ascii="Times New Roman" w:hAnsi="Times New Roman"/>
          <w:b w:val="0"/>
          <w:i w:val="0"/>
          <w:sz w:val="20"/>
        </w:rPr>
        <w:t>[8]</w:t>
      </w:r>
      <w:r>
        <w:rPr>
          <w:rFonts w:ascii="Times New Roman" w:hAnsi="Times New Roman"/>
          <w:b w:val="0"/>
          <w:i w:val="0"/>
          <w:sz w:val="20"/>
        </w:rPr>
        <w:t xml:space="preserve"> and under-served groups are underdiagnosed </w:t>
      </w:r>
      <w:r>
        <w:rPr>
          <w:rFonts w:ascii="Times New Roman" w:hAnsi="Times New Roman"/>
          <w:b w:val="0"/>
          <w:i w:val="0"/>
          <w:sz w:val="20"/>
        </w:rPr>
        <w:t>[9]</w:t>
      </w:r>
      <w:r>
        <w:rPr>
          <w:rFonts w:ascii="Times New Roman" w:hAnsi="Times New Roman"/>
          <w:b w:val="0"/>
          <w:i w:val="0"/>
          <w:sz w:val="20"/>
        </w:rPr>
        <w:t xml:space="preserve">; see </w:t>
      </w:r>
      <w:r>
        <w:rPr>
          <w:rFonts w:ascii="Times New Roman" w:hAnsi="Times New Roman"/>
          <w:b w:val="0"/>
          <w:i w:val="0"/>
          <w:sz w:val="20"/>
        </w:rPr>
        <w:t>[10]</w:t>
      </w:r>
      <w:r>
        <w:rPr>
          <w:rFonts w:ascii="Times New Roman" w:hAnsi="Times New Roman"/>
          <w:b w:val="0"/>
          <w:i w:val="0"/>
          <w:sz w:val="20"/>
        </w:rPr>
        <w:t xml:space="preserve">. For brain age, race and sex bias was analysed in UK Biobank </w:t>
      </w:r>
      <w:r>
        <w:rPr>
          <w:rFonts w:ascii="Times New Roman" w:hAnsi="Times New Roman"/>
          <w:b w:val="0"/>
          <w:i w:val="0"/>
          <w:sz w:val="20"/>
        </w:rPr>
        <w:t>[11]</w:t>
      </w:r>
      <w:r>
        <w:rPr>
          <w:rFonts w:ascii="Times New Roman" w:hAnsi="Times New Roman"/>
          <w:b w:val="0"/>
          <w:i w:val="0"/>
          <w:sz w:val="20"/>
        </w:rPr>
        <w:t xml:space="preserve">, and a multi-cohort evaluation found dataset differences largely explained by age distributions, with a small ethnicity effect in some models </w:t>
      </w:r>
      <w:r>
        <w:rPr>
          <w:rFonts w:ascii="Times New Roman" w:hAnsi="Times New Roman"/>
          <w:b w:val="0"/>
          <w:i w:val="0"/>
          <w:sz w:val="20"/>
        </w:rPr>
        <w:t>[20]</w:t>
      </w:r>
      <w:r>
        <w:rPr>
          <w:rFonts w:ascii="Times New Roman" w:hAnsi="Times New Roman"/>
          <w:b w:val="0"/>
          <w:i w:val="0"/>
          <w:sz w:val="20"/>
        </w:rPr>
        <w:t xml:space="preserve">. Models encode protected attributes they were not trained on </w:t>
      </w:r>
      <w:r>
        <w:rPr>
          <w:rFonts w:ascii="Times New Roman" w:hAnsi="Times New Roman"/>
          <w:b w:val="0"/>
          <w:i w:val="0"/>
          <w:sz w:val="20"/>
        </w:rPr>
        <w:t>[25]</w:t>
      </w:r>
      <w:r>
        <w:rPr>
          <w:rFonts w:ascii="Times New Roman" w:hAnsi="Times New Roman"/>
          <w:b w:val="0"/>
          <w:i w:val="0"/>
          <w:sz w:val="20"/>
        </w:rPr>
        <w:t xml:space="preserve">, measurable with linear probes </w:t>
      </w:r>
      <w:r>
        <w:rPr>
          <w:rFonts w:ascii="Times New Roman" w:hAnsi="Times New Roman"/>
          <w:b w:val="0"/>
          <w:i w:val="0"/>
          <w:sz w:val="20"/>
        </w:rPr>
        <w:t>[26]</w:t>
      </w:r>
      <w:r>
        <w:rPr>
          <w:rFonts w:ascii="Times New Roman" w:hAnsi="Times New Roman"/>
          <w:b w:val="0"/>
          <w:i w:val="0"/>
          <w:sz w:val="20"/>
        </w:rPr>
        <w:t xml:space="preserve">; decodability does not imply use, which motivates erasure-based tests </w:t>
      </w:r>
      <w:r>
        <w:rPr>
          <w:rFonts w:ascii="Times New Roman" w:hAnsi="Times New Roman"/>
          <w:b w:val="0"/>
          <w:i w:val="0"/>
          <w:sz w:val="20"/>
        </w:rPr>
        <w:t>[27]</w:t>
      </w:r>
      <w:r>
        <w:rPr>
          <w:rFonts w:ascii="Times New Roman" w:hAnsi="Times New Roman"/>
          <w:b w:val="0"/>
          <w:i w:val="0"/>
          <w:sz w:val="20"/>
        </w:rPr>
        <w:t>.</w:t>
      </w:r>
    </w:p>
    <w:p>
      <w:pPr>
        <w:keepNext w:val="0"/>
        <w:spacing w:before="0" w:after="40" w:line="240" w:lineRule="auto"/>
        <w:ind w:firstLine="245"/>
        <w:jc w:val="both"/>
      </w:pPr>
      <w:r>
        <w:rPr>
          <w:rFonts w:ascii="Times New Roman" w:hAnsi="Times New Roman"/>
          <w:b/>
          <w:i w:val="0"/>
          <w:sz w:val="20"/>
        </w:rPr>
        <w:t>Site effects and harmonisation.</w:t>
      </w:r>
      <w:r>
        <w:rPr>
          <w:rFonts w:ascii="Times New Roman" w:hAnsi="Times New Roman"/>
          <w:b w:val="0"/>
          <w:i w:val="0"/>
          <w:sz w:val="20"/>
        </w:rPr>
        <w:t xml:space="preserve"> Scanner signatures are learnable </w:t>
      </w:r>
      <w:r>
        <w:rPr>
          <w:rFonts w:ascii="Times New Roman" w:hAnsi="Times New Roman"/>
          <w:b w:val="0"/>
          <w:i w:val="0"/>
          <w:sz w:val="20"/>
        </w:rPr>
        <w:t>[17]</w:t>
      </w:r>
      <w:r>
        <w:rPr>
          <w:rFonts w:ascii="Times New Roman" w:hAnsi="Times New Roman"/>
          <w:b w:val="0"/>
          <w:i w:val="0"/>
          <w:sz w:val="20"/>
        </w:rPr>
        <w:t xml:space="preserve">. ComBat </w:t>
      </w:r>
      <w:r>
        <w:rPr>
          <w:rFonts w:ascii="Times New Roman" w:hAnsi="Times New Roman"/>
          <w:b w:val="0"/>
          <w:i w:val="0"/>
          <w:sz w:val="20"/>
        </w:rPr>
        <w:t>[18], [28]</w:t>
      </w:r>
      <w:r>
        <w:rPr>
          <w:rFonts w:ascii="Times New Roman" w:hAnsi="Times New Roman"/>
          <w:b w:val="0"/>
          <w:i w:val="0"/>
          <w:sz w:val="20"/>
        </w:rPr>
        <w:t xml:space="preserve"> and its nonlinear-age extension ComBat-GAM </w:t>
      </w:r>
      <w:r>
        <w:rPr>
          <w:rFonts w:ascii="Times New Roman" w:hAnsi="Times New Roman"/>
          <w:b w:val="0"/>
          <w:i w:val="0"/>
          <w:sz w:val="20"/>
        </w:rPr>
        <w:t>[29]</w:t>
      </w:r>
      <w:r>
        <w:rPr>
          <w:rFonts w:ascii="Times New Roman" w:hAnsi="Times New Roman"/>
          <w:b w:val="0"/>
          <w:i w:val="0"/>
          <w:sz w:val="20"/>
        </w:rPr>
        <w:t xml:space="preserve"> remove site effects from derived measures; adversarial unlearning removes them during training </w:t>
      </w:r>
      <w:r>
        <w:rPr>
          <w:rFonts w:ascii="Times New Roman" w:hAnsi="Times New Roman"/>
          <w:b w:val="0"/>
          <w:i w:val="0"/>
          <w:sz w:val="20"/>
        </w:rPr>
        <w:t>[19], [30]</w:t>
      </w:r>
      <w:r>
        <w:rPr>
          <w:rFonts w:ascii="Times New Roman" w:hAnsi="Times New Roman"/>
          <w:b w:val="0"/>
          <w:i w:val="0"/>
          <w:sz w:val="20"/>
        </w:rPr>
        <w:t xml:space="preserve">; histogram matching standardises intensity </w:t>
      </w:r>
      <w:r>
        <w:rPr>
          <w:rFonts w:ascii="Times New Roman" w:hAnsi="Times New Roman"/>
          <w:b w:val="0"/>
          <w:i w:val="0"/>
          <w:sz w:val="20"/>
        </w:rPr>
        <w:t>[31]</w:t>
      </w:r>
      <w:r>
        <w:rPr>
          <w:rFonts w:ascii="Times New Roman" w:hAnsi="Times New Roman"/>
          <w:b w:val="0"/>
          <w:i w:val="0"/>
          <w:sz w:val="20"/>
        </w:rPr>
        <w:t>.</w:t>
      </w:r>
    </w:p>
    <w:p>
      <w:pPr>
        <w:keepNext w:val="0"/>
        <w:spacing w:before="0" w:after="40" w:line="240" w:lineRule="auto"/>
        <w:ind w:firstLine="245"/>
        <w:jc w:val="both"/>
      </w:pPr>
      <w:r>
        <w:rPr>
          <w:rFonts w:ascii="Times New Roman" w:hAnsi="Times New Roman"/>
          <w:b/>
          <w:i w:val="0"/>
          <w:sz w:val="20"/>
        </w:rPr>
        <w:t>Faithful explanations and uncertainty.</w:t>
      </w:r>
      <w:r>
        <w:rPr>
          <w:rFonts w:ascii="Times New Roman" w:hAnsi="Times New Roman"/>
          <w:b w:val="0"/>
          <w:i w:val="0"/>
          <w:sz w:val="20"/>
        </w:rPr>
        <w:t xml:space="preserve"> Grad-CAM </w:t>
      </w:r>
      <w:r>
        <w:rPr>
          <w:rFonts w:ascii="Times New Roman" w:hAnsi="Times New Roman"/>
          <w:b w:val="0"/>
          <w:i w:val="0"/>
          <w:sz w:val="20"/>
        </w:rPr>
        <w:t>[32]</w:t>
      </w:r>
      <w:r>
        <w:rPr>
          <w:rFonts w:ascii="Times New Roman" w:hAnsi="Times New Roman"/>
          <w:b w:val="0"/>
          <w:i w:val="0"/>
          <w:sz w:val="20"/>
        </w:rPr>
        <w:t xml:space="preserve">, HiResCAM </w:t>
      </w:r>
      <w:r>
        <w:rPr>
          <w:rFonts w:ascii="Times New Roman" w:hAnsi="Times New Roman"/>
          <w:b w:val="0"/>
          <w:i w:val="0"/>
          <w:sz w:val="20"/>
        </w:rPr>
        <w:t>[33]</w:t>
      </w:r>
      <w:r>
        <w:rPr>
          <w:rFonts w:ascii="Times New Roman" w:hAnsi="Times New Roman"/>
          <w:b w:val="0"/>
          <w:i w:val="0"/>
          <w:sz w:val="20"/>
        </w:rPr>
        <w:t xml:space="preserve"> and Integrated Gradients </w:t>
      </w:r>
      <w:r>
        <w:rPr>
          <w:rFonts w:ascii="Times New Roman" w:hAnsi="Times New Roman"/>
          <w:b w:val="0"/>
          <w:i w:val="0"/>
          <w:sz w:val="20"/>
        </w:rPr>
        <w:t>[34]</w:t>
      </w:r>
      <w:r>
        <w:rPr>
          <w:rFonts w:ascii="Times New Roman" w:hAnsi="Times New Roman"/>
          <w:b w:val="0"/>
          <w:i w:val="0"/>
          <w:sz w:val="20"/>
        </w:rPr>
        <w:t xml:space="preserve"> are common attribution methods; they should pass randomisation </w:t>
      </w:r>
      <w:r>
        <w:rPr>
          <w:rFonts w:ascii="Times New Roman" w:hAnsi="Times New Roman"/>
          <w:b w:val="0"/>
          <w:i w:val="0"/>
          <w:sz w:val="20"/>
        </w:rPr>
        <w:t>[15]</w:t>
      </w:r>
      <w:r>
        <w:rPr>
          <w:rFonts w:ascii="Times New Roman" w:hAnsi="Times New Roman"/>
          <w:b w:val="0"/>
          <w:i w:val="0"/>
          <w:sz w:val="20"/>
        </w:rPr>
        <w:t xml:space="preserve"> and perturbation tests </w:t>
      </w:r>
      <w:r>
        <w:rPr>
          <w:rFonts w:ascii="Times New Roman" w:hAnsi="Times New Roman"/>
          <w:b w:val="0"/>
          <w:i w:val="0"/>
          <w:sz w:val="20"/>
        </w:rPr>
        <w:t>[16], [35]</w:t>
      </w:r>
      <w:r>
        <w:rPr>
          <w:rFonts w:ascii="Times New Roman" w:hAnsi="Times New Roman"/>
          <w:b w:val="0"/>
          <w:i w:val="0"/>
          <w:sz w:val="20"/>
        </w:rPr>
        <w:t xml:space="preserve">. Network confidence is often miscalibrated </w:t>
      </w:r>
      <w:r>
        <w:rPr>
          <w:rFonts w:ascii="Times New Roman" w:hAnsi="Times New Roman"/>
          <w:b w:val="0"/>
          <w:i w:val="0"/>
          <w:sz w:val="20"/>
        </w:rPr>
        <w:t>[36]</w:t>
      </w:r>
      <w:r>
        <w:rPr>
          <w:rFonts w:ascii="Times New Roman" w:hAnsi="Times New Roman"/>
          <w:b w:val="0"/>
          <w:i w:val="0"/>
          <w:sz w:val="20"/>
        </w:rPr>
        <w:t xml:space="preserve">; deep ensembles </w:t>
      </w:r>
      <w:r>
        <w:rPr>
          <w:rFonts w:ascii="Times New Roman" w:hAnsi="Times New Roman"/>
          <w:b w:val="0"/>
          <w:i w:val="0"/>
          <w:sz w:val="20"/>
        </w:rPr>
        <w:t>[37]</w:t>
      </w:r>
      <w:r>
        <w:rPr>
          <w:rFonts w:ascii="Times New Roman" w:hAnsi="Times New Roman"/>
          <w:b w:val="0"/>
          <w:i w:val="0"/>
          <w:sz w:val="20"/>
        </w:rPr>
        <w:t xml:space="preserve"> and conformal prediction </w:t>
      </w:r>
      <w:r>
        <w:rPr>
          <w:rFonts w:ascii="Times New Roman" w:hAnsi="Times New Roman"/>
          <w:b w:val="0"/>
          <w:i w:val="0"/>
          <w:sz w:val="20"/>
        </w:rPr>
        <w:t>[38], [39]</w:t>
      </w:r>
      <w:r>
        <w:rPr>
          <w:rFonts w:ascii="Times New Roman" w:hAnsi="Times New Roman"/>
          <w:b w:val="0"/>
          <w:i w:val="0"/>
          <w:sz w:val="20"/>
        </w:rPr>
        <w:t>, including group-conditional (Mondrian) variants, provide checked or guaranteed coverage.</w:t>
      </w:r>
    </w:p>
    <w:p>
      <w:pPr>
        <w:keepNext/>
        <w:spacing w:before="160" w:after="80" w:line="240" w:lineRule="auto"/>
        <w:jc w:val="center"/>
      </w:pPr>
      <w:r>
        <w:rPr>
          <w:rFonts w:ascii="Times New Roman" w:hAnsi="Times New Roman"/>
          <w:b w:val="0"/>
          <w:i w:val="0"/>
          <w:sz w:val="19"/>
        </w:rPr>
        <w:t>III. DATA</w:t>
      </w:r>
    </w:p>
    <w:p>
      <w:pPr>
        <w:keepNext w:val="0"/>
        <w:spacing w:before="0" w:after="40" w:line="240" w:lineRule="auto"/>
        <w:ind w:firstLine="245"/>
        <w:jc w:val="both"/>
      </w:pPr>
      <w:r>
        <w:rPr>
          <w:rFonts w:ascii="Times New Roman" w:hAnsi="Times New Roman"/>
          <w:b w:val="0"/>
          <w:i w:val="0"/>
          <w:sz w:val="20"/>
        </w:rPr>
        <w:t xml:space="preserve">IXI </w:t>
      </w:r>
      <w:r>
        <w:rPr>
          <w:rFonts w:ascii="Times New Roman" w:hAnsi="Times New Roman"/>
          <w:b w:val="0"/>
          <w:i w:val="0"/>
          <w:sz w:val="20"/>
        </w:rPr>
        <w:t>[40]</w:t>
      </w:r>
      <w:r>
        <w:rPr>
          <w:rFonts w:ascii="Times New Roman" w:hAnsi="Times New Roman"/>
          <w:b w:val="0"/>
          <w:i w:val="0"/>
          <w:sz w:val="20"/>
        </w:rPr>
        <w:t xml:space="preserve"> provides T1-weighted MRI and demographics for healthy adults scanned at Guy's Hospital (Guys; Philips 1.5 T), Hammersmith Hospital (HH; Philips 3 T) and the Institute of Psychiatry (IOP; GE 1.5 T). Labels were rebuilt from the official spreadsheet after an identifier error in an early table was found; two independent rebuilds agreed, and no result based on the erroneous labels was reported. Of 502 subjects with a scan and a demographic index entry, 17 were excluded (10 without a record, 2 without age, 2 with contradictory duplicates, and 3 with clean labels that were not part of the shared team split; the list is released). The remaining 485 were split 339/73/73 into train, validation and test, stratified by site (Table </w:t>
      </w:r>
      <w:r>
        <w:rPr>
          <w:rFonts w:ascii="Times New Roman" w:hAnsi="Times New Roman"/>
          <w:b w:val="0"/>
          <w:i w:val="0"/>
          <w:sz w:val="20"/>
        </w:rPr>
        <w:t>I</w:t>
      </w:r>
      <w:r>
        <w:rPr>
          <w:rFonts w:ascii="Times New Roman" w:hAnsi="Times New Roman"/>
          <w:b w:val="0"/>
          <w:i w:val="0"/>
          <w:sz w:val="20"/>
        </w:rPr>
        <w:t xml:space="preserve">). IOP recruited younger participants (Fig. </w:t>
      </w:r>
      <w:r>
        <w:rPr>
          <w:rFonts w:ascii="Times New Roman" w:hAnsi="Times New Roman"/>
          <w:b w:val="0"/>
          <w:i w:val="0"/>
          <w:sz w:val="20"/>
        </w:rPr>
        <w:t>2</w:t>
      </w:r>
      <w:r>
        <w:rPr>
          <w:rFonts w:ascii="Times New Roman" w:hAnsi="Times New Roman"/>
          <w:b w:val="0"/>
          <w:i w:val="0"/>
          <w:sz w:val="20"/>
        </w:rPr>
        <w:t xml:space="preserve">), so every group comparison adjusts for age, and Section </w:t>
      </w:r>
      <w:r>
        <w:rPr>
          <w:rFonts w:ascii="Times New Roman" w:hAnsi="Times New Roman"/>
          <w:b w:val="0"/>
          <w:i w:val="0"/>
          <w:sz w:val="20"/>
        </w:rPr>
        <w:t>V-C</w:t>
      </w:r>
      <w:r>
        <w:rPr>
          <w:rFonts w:ascii="Times New Roman" w:hAnsi="Times New Roman"/>
          <w:b w:val="0"/>
          <w:i w:val="0"/>
          <w:sz w:val="20"/>
        </w:rPr>
        <w:t xml:space="preserve"> tests whether that adjustment is adequate.</w:t>
      </w:r>
    </w:p>
    <w:p>
      <w:pPr>
        <w:keepNext/>
        <w:spacing w:before="120" w:after="0" w:line="240" w:lineRule="auto"/>
        <w:jc w:val="center"/>
      </w:pPr>
      <w:r>
        <w:rPr>
          <w:rFonts w:ascii="Times New Roman" w:hAnsi="Times New Roman"/>
          <w:b w:val="0"/>
          <w:i w:val="0"/>
          <w:sz w:val="16"/>
        </w:rPr>
        <w:t>TABLE I</w:t>
      </w:r>
    </w:p>
    <w:p>
      <w:pPr>
        <w:keepNext/>
        <w:spacing w:before="0" w:after="60" w:line="240" w:lineRule="auto"/>
        <w:jc w:val="center"/>
      </w:pPr>
      <w:r>
        <w:rPr>
          <w:rFonts w:ascii="Times New Roman" w:hAnsi="Times New Roman"/>
          <w:b w:val="0"/>
          <w:i w:val="0"/>
          <w:sz w:val="16"/>
        </w:rPr>
        <w:t>Subjects per acquisition site</w:t>
      </w:r>
    </w:p>
    <w:tbl>
      <w:tblPr>
        <w:tblW w:type="auto" w:w="0"/>
        <w:jc w:val="center"/>
        <w:tblLook w:firstColumn="1" w:firstRow="1" w:lastColumn="0" w:lastRow="0" w:noHBand="0" w:noVBand="1" w:val="04A0"/>
      </w:tblPr>
      <w:tblGrid>
        <w:gridCol w:w="2062"/>
        <w:gridCol w:w="2062"/>
        <w:gridCol w:w="2062"/>
        <w:gridCol w:w="2062"/>
        <w:gridCol w:w="2062"/>
      </w:tblGrid>
      <w:tr>
        <w:tc>
          <w:tcPr>
            <w:tcW w:type="dxa" w:w="2062"/>
            <w:tcBorders>
              <w:top w:val="single" w:sz="8"/>
              <w:bottom w:val="nil" w:sz="0"/>
              <w:left w:val="nil"/>
              <w:right w:val="nil"/>
            </w:tcBorders>
          </w:tcPr>
          <w:p>
            <w:pPr>
              <w:spacing w:before="20" w:after="20"/>
              <w:jc w:val="left"/>
            </w:pPr>
            <w:r>
              <w:rPr>
                <w:rFonts w:ascii="Times New Roman" w:hAnsi="Times New Roman"/>
                <w:b/>
                <w:i w:val="0"/>
                <w:sz w:val="16"/>
              </w:rPr>
              <w:t>Site</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Scanner</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n</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Mean age</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 xml:space="preserve">Test </w:t>
            </w:r>
            <w:r>
              <w:rPr>
                <w:rFonts w:ascii="Times New Roman" w:hAnsi="Times New Roman"/>
                <w:b/>
                <w:i w:val="0"/>
                <w:sz w:val="16"/>
              </w:rPr>
              <w:t>n</w:t>
            </w:r>
          </w:p>
        </w:tc>
      </w:tr>
      <w:tr>
        <w:tc>
          <w:tcPr>
            <w:tcW w:type="dxa" w:w="2062"/>
            <w:tcBorders>
              <w:top w:val="single" w:sz="8"/>
              <w:bottom w:val="nil" w:sz="0"/>
              <w:left w:val="nil"/>
              <w:right w:val="nil"/>
            </w:tcBorders>
          </w:tcPr>
          <w:p>
            <w:pPr>
              <w:spacing w:before="20" w:after="20"/>
              <w:jc w:val="left"/>
            </w:pPr>
            <w:r>
              <w:rPr>
                <w:rFonts w:ascii="Times New Roman" w:hAnsi="Times New Roman"/>
                <w:b w:val="0"/>
                <w:i w:val="0"/>
                <w:sz w:val="16"/>
              </w:rPr>
              <w:t>Guys</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Philips 1.5 T</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275</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50.6</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42</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HH</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Philips 3 T</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149</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47.7</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22</w:t>
            </w:r>
          </w:p>
        </w:tc>
      </w:tr>
      <w:tr>
        <w:tc>
          <w:tcPr>
            <w:tcW w:type="dxa" w:w="2062"/>
            <w:tcBorders>
              <w:top w:val="nil" w:sz="0"/>
              <w:bottom w:val="single" w:sz="8"/>
              <w:left w:val="nil"/>
              <w:right w:val="nil"/>
            </w:tcBorders>
          </w:tcPr>
          <w:p>
            <w:pPr>
              <w:spacing w:before="20" w:after="20"/>
              <w:jc w:val="left"/>
            </w:pPr>
            <w:r>
              <w:rPr>
                <w:rFonts w:ascii="Times New Roman" w:hAnsi="Times New Roman"/>
                <w:b w:val="0"/>
                <w:i w:val="0"/>
                <w:sz w:val="16"/>
              </w:rPr>
              <w:t>IOP</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GE 1.5 T</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61</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42.5</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9</w:t>
            </w:r>
          </w:p>
        </w:tc>
      </w:tr>
    </w:tbl>
    <w:p>
      <w:pPr>
        <w:keepNext w:val="0"/>
        <w:spacing w:before="0" w:after="0" w:line="240" w:lineRule="auto"/>
        <w:ind w:firstLine="245"/>
        <w:jc w:val="both"/>
      </w:pPr>
    </w:p>
    <w:p>
      <w:pPr>
        <w:sectPr>
          <w:type w:val="continuous"/>
          <w:pgSz w:w="12240" w:h="15840"/>
          <w:pgMar w:top="1080" w:right="965" w:bottom="1440" w:left="965" w:header="720" w:footer="720" w:gutter="0"/>
          <w:cols w:space="360" w:num="2"/>
          <w:docGrid w:linePitch="360"/>
        </w:sectPr>
      </w:pPr>
    </w:p>
    <w:p>
      <w:pPr>
        <w:keepNext/>
        <w:jc w:val="center"/>
      </w:pPr>
      <w:r>
        <w:drawing>
          <wp:inline xmlns:a="http://schemas.openxmlformats.org/drawingml/2006/main" xmlns:pic="http://schemas.openxmlformats.org/drawingml/2006/picture">
            <wp:extent cx="5892393" cy="1722392"/>
            <wp:docPr id="2" name="Picture 2"/>
            <wp:cNvGraphicFramePr>
              <a:graphicFrameLocks noChangeAspect="1"/>
            </wp:cNvGraphicFramePr>
            <a:graphic>
              <a:graphicData uri="http://schemas.openxmlformats.org/drawingml/2006/picture">
                <pic:pic>
                  <pic:nvPicPr>
                    <pic:cNvPr id="0" name="age_distribution_and_gaps.png"/>
                    <pic:cNvPicPr/>
                  </pic:nvPicPr>
                  <pic:blipFill>
                    <a:blip r:embed="rId10"/>
                    <a:stretch>
                      <a:fillRect/>
                    </a:stretch>
                  </pic:blipFill>
                  <pic:spPr>
                    <a:xfrm>
                      <a:off x="0" y="0"/>
                      <a:ext cx="5892393" cy="1722392"/>
                    </a:xfrm>
                    <a:prstGeom prst="rect"/>
                  </pic:spPr>
                </pic:pic>
              </a:graphicData>
            </a:graphic>
          </wp:inline>
        </w:drawing>
      </w:r>
    </w:p>
    <w:p>
      <w:pPr>
        <w:keepNext w:val="0"/>
        <w:spacing w:before="0" w:after="160" w:line="240" w:lineRule="auto"/>
        <w:jc w:val="center"/>
      </w:pPr>
      <w:r>
        <w:rPr>
          <w:rFonts w:ascii="Times New Roman" w:hAnsi="Times New Roman"/>
          <w:b w:val="0"/>
          <w:i w:val="0"/>
          <w:sz w:val="16"/>
        </w:rPr>
        <w:t xml:space="preserve">Fig. 2.  </w:t>
      </w:r>
      <w:r>
        <w:rPr>
          <w:rFonts w:ascii="Times New Roman" w:hAnsi="Times New Roman"/>
          <w:b w:val="0"/>
          <w:i w:val="0"/>
          <w:sz w:val="16"/>
        </w:rPr>
        <w:t>Left: age distribution by site (all 485 subjects). Middle and right: corrected brain-age gap of every held-out subject by site and by sex (bar: median).</w:t>
      </w:r>
    </w:p>
    <w:p>
      <w:pPr>
        <w:sectPr>
          <w:type w:val="continuous"/>
          <w:pgSz w:w="12240" w:h="15840"/>
          <w:pgMar w:top="1080" w:right="965" w:bottom="1440" w:left="965" w:header="720" w:footer="720" w:gutter="0"/>
          <w:cols w:space="360" w:num="1"/>
          <w:docGrid w:linePitch="360"/>
        </w:sectPr>
      </w:pPr>
    </w:p>
    <w:p>
      <w:pPr>
        <w:keepNext/>
        <w:spacing w:before="160" w:after="80" w:line="240" w:lineRule="auto"/>
        <w:jc w:val="center"/>
      </w:pPr>
      <w:r>
        <w:rPr>
          <w:rFonts w:ascii="Times New Roman" w:hAnsi="Times New Roman"/>
          <w:b w:val="0"/>
          <w:i w:val="0"/>
          <w:sz w:val="19"/>
        </w:rPr>
        <w:t>IV. METHODS</w:t>
      </w:r>
    </w:p>
    <w:p>
      <w:pPr>
        <w:keepNext/>
        <w:spacing w:before="80" w:after="40" w:line="240" w:lineRule="auto"/>
        <w:jc w:val="left"/>
      </w:pPr>
      <w:r>
        <w:rPr>
          <w:rFonts w:ascii="Times New Roman" w:hAnsi="Times New Roman"/>
          <w:b w:val="0"/>
          <w:i/>
          <w:sz w:val="20"/>
        </w:rPr>
        <w:t>A. Preprocessing and model</w:t>
      </w:r>
    </w:p>
    <w:p>
      <w:pPr>
        <w:keepNext w:val="0"/>
        <w:spacing w:before="0" w:after="40" w:line="240" w:lineRule="auto"/>
        <w:ind w:firstLine="245"/>
        <w:jc w:val="both"/>
      </w:pPr>
      <w:r>
        <w:rPr>
          <w:rFonts w:ascii="Times New Roman" w:hAnsi="Times New Roman"/>
          <w:b w:val="0"/>
          <w:i w:val="0"/>
          <w:sz w:val="20"/>
        </w:rPr>
        <w:t xml:space="preserve">Each scan underwent N4 bias-field correction </w:t>
      </w:r>
      <w:r>
        <w:rPr>
          <w:rFonts w:ascii="Times New Roman" w:hAnsi="Times New Roman"/>
          <w:b w:val="0"/>
          <w:i w:val="0"/>
          <w:sz w:val="20"/>
        </w:rPr>
        <w:t>[41]</w:t>
      </w:r>
      <w:r>
        <w:rPr>
          <w:rFonts w:ascii="Times New Roman" w:hAnsi="Times New Roman"/>
          <w:b w:val="0"/>
          <w:i w:val="0"/>
          <w:sz w:val="20"/>
        </w:rPr>
        <w:t xml:space="preserve">, skull-stripping with ANTsPyNet </w:t>
      </w:r>
      <w:r>
        <w:rPr>
          <w:rFonts w:ascii="Times New Roman" w:hAnsi="Times New Roman"/>
          <w:b w:val="0"/>
          <w:i w:val="0"/>
          <w:sz w:val="20"/>
        </w:rPr>
        <w:t>[42]</w:t>
      </w:r>
      <w:r>
        <w:rPr>
          <w:rFonts w:ascii="Times New Roman" w:hAnsi="Times New Roman"/>
          <w:b w:val="0"/>
          <w:i w:val="0"/>
          <w:sz w:val="20"/>
        </w:rPr>
        <w:t xml:space="preserve">, affine registration to the MNI152NLin6Asym 1 mm template </w:t>
      </w:r>
      <w:r>
        <w:rPr>
          <w:rFonts w:ascii="Times New Roman" w:hAnsi="Times New Roman"/>
          <w:b w:val="0"/>
          <w:i w:val="0"/>
          <w:sz w:val="20"/>
        </w:rPr>
        <w:t>[43]</w:t>
      </w:r>
      <w:r>
        <w:rPr>
          <w:rFonts w:ascii="Times New Roman" w:hAnsi="Times New Roman"/>
          <w:b w:val="0"/>
          <w:i w:val="0"/>
          <w:sz w:val="20"/>
        </w:rPr>
        <w:t xml:space="preserve">, a centre crop to </w:t>
      </w:r>
      <w:r>
        <w:rPr>
          <w:rFonts w:ascii="Times New Roman" w:hAnsi="Times New Roman"/>
          <w:b w:val="0"/>
          <w:i w:val="0"/>
          <w:sz w:val="20"/>
        </w:rPr>
        <w:t>160×192×160</w:t>
      </w:r>
      <w:r>
        <w:rPr>
          <w:rFonts w:ascii="Times New Roman" w:hAnsi="Times New Roman"/>
          <w:b w:val="0"/>
          <w:i w:val="0"/>
          <w:sz w:val="20"/>
        </w:rPr>
        <w:t xml:space="preserve"> voxels and SFCN's intensity normalisation (division by the mean over the full </w:t>
      </w:r>
      <w:r>
        <w:rPr>
          <w:rFonts w:ascii="Times New Roman" w:hAnsi="Times New Roman"/>
          <w:b w:val="0"/>
          <w:i w:val="0"/>
          <w:sz w:val="20"/>
        </w:rPr>
        <w:t>182×218×182</w:t>
      </w:r>
      <w:r>
        <w:rPr>
          <w:rFonts w:ascii="Times New Roman" w:hAnsi="Times New Roman"/>
          <w:b w:val="0"/>
          <w:i w:val="0"/>
          <w:sz w:val="20"/>
        </w:rPr>
        <w:t xml:space="preserve"> box). SFCN </w:t>
      </w:r>
      <w:r>
        <w:rPr>
          <w:rFonts w:ascii="Times New Roman" w:hAnsi="Times New Roman"/>
          <w:b w:val="0"/>
          <w:i w:val="0"/>
          <w:sz w:val="20"/>
        </w:rPr>
        <w:t>[5]</w:t>
      </w:r>
      <w:r>
        <w:rPr>
          <w:rFonts w:ascii="Times New Roman" w:hAnsi="Times New Roman"/>
          <w:b w:val="0"/>
          <w:i w:val="0"/>
          <w:sz w:val="20"/>
        </w:rPr>
        <w:t xml:space="preserve"> has five convolution–batch-norm–max-pool–ReLU blocks and a </w:t>
      </w:r>
      <w:r>
        <w:rPr>
          <w:rFonts w:ascii="Times New Roman" w:hAnsi="Times New Roman"/>
          <w:b w:val="0"/>
          <w:i w:val="0"/>
          <w:sz w:val="20"/>
        </w:rPr>
        <w:t>1×1×1</w:t>
      </w:r>
      <w:r>
        <w:rPr>
          <w:rFonts w:ascii="Times New Roman" w:hAnsi="Times New Roman"/>
          <w:b w:val="0"/>
          <w:i w:val="0"/>
          <w:sz w:val="20"/>
        </w:rPr>
        <w:t xml:space="preserve"> block, global average pooling to 64 features and a </w:t>
      </w:r>
      <w:r>
        <w:rPr>
          <w:rFonts w:ascii="Times New Roman" w:hAnsi="Times New Roman"/>
          <w:b w:val="0"/>
          <w:i w:val="0"/>
          <w:sz w:val="20"/>
        </w:rPr>
        <w:t>1×1×1</w:t>
      </w:r>
      <w:r>
        <w:rPr>
          <w:rFonts w:ascii="Times New Roman" w:hAnsi="Times New Roman"/>
          <w:b w:val="0"/>
          <w:i w:val="0"/>
          <w:sz w:val="20"/>
        </w:rPr>
        <w:t xml:space="preserve"> convolution over one-year age bins; the prediction is the expected value of the bin distribution. We replaced the UK Biobank head (ages 42–82) with 72 bins for 18–90, warm-starting overlapping bins, and fine-tuned with Gaussian soft labels (</w:t>
      </w:r>
      <w:r>
        <w:rPr>
          <w:rFonts w:ascii="Times New Roman" w:hAnsi="Times New Roman"/>
          <w:b w:val="0"/>
          <w:i w:val="0"/>
          <w:sz w:val="20"/>
        </w:rPr>
        <w:t>σ=2</w:t>
      </w:r>
      <w:r>
        <w:rPr>
          <w:rFonts w:ascii="Times New Roman" w:hAnsi="Times New Roman"/>
          <w:b w:val="0"/>
          <w:i w:val="0"/>
          <w:sz w:val="20"/>
        </w:rPr>
        <w:t xml:space="preserve"> years) and a KL loss: the head for 5 epochs (learning rate </w:t>
      </w:r>
      <w:r>
        <w:rPr>
          <w:rFonts w:ascii="Times New Roman" w:hAnsi="Times New Roman"/>
          <w:b w:val="0"/>
          <w:i w:val="0"/>
          <w:sz w:val="20"/>
        </w:rPr>
        <w:t>10⁻³</w:t>
      </w:r>
      <w:r>
        <w:rPr>
          <w:rFonts w:ascii="Times New Roman" w:hAnsi="Times New Roman"/>
          <w:b w:val="0"/>
          <w:i w:val="0"/>
          <w:sz w:val="20"/>
        </w:rPr>
        <w:t xml:space="preserve">), then the whole network with AdamW </w:t>
      </w:r>
      <w:r>
        <w:rPr>
          <w:rFonts w:ascii="Times New Roman" w:hAnsi="Times New Roman"/>
          <w:b w:val="0"/>
          <w:i w:val="0"/>
          <w:sz w:val="20"/>
        </w:rPr>
        <w:t>[44]</w:t>
      </w:r>
      <w:r>
        <w:rPr>
          <w:rFonts w:ascii="Times New Roman" w:hAnsi="Times New Roman"/>
          <w:b w:val="0"/>
          <w:i w:val="0"/>
          <w:sz w:val="20"/>
        </w:rPr>
        <w:t xml:space="preserve"> (head </w:t>
      </w:r>
      <w:r>
        <w:rPr>
          <w:rFonts w:ascii="Times New Roman" w:hAnsi="Times New Roman"/>
          <w:b w:val="0"/>
          <w:i w:val="0"/>
          <w:sz w:val="20"/>
        </w:rPr>
        <w:t>10⁻³</w:t>
      </w:r>
      <w:r>
        <w:rPr>
          <w:rFonts w:ascii="Times New Roman" w:hAnsi="Times New Roman"/>
          <w:b w:val="0"/>
          <w:i w:val="0"/>
          <w:sz w:val="20"/>
        </w:rPr>
        <w:t xml:space="preserve">, backbone </w:t>
      </w:r>
      <w:r>
        <w:rPr>
          <w:rFonts w:ascii="Times New Roman" w:hAnsi="Times New Roman"/>
          <w:b w:val="0"/>
          <w:i w:val="0"/>
          <w:sz w:val="20"/>
        </w:rPr>
        <w:t>10⁻⁴</w:t>
      </w:r>
      <w:r>
        <w:rPr>
          <w:rFonts w:ascii="Times New Roman" w:hAnsi="Times New Roman"/>
          <w:b w:val="0"/>
          <w:i w:val="0"/>
          <w:sz w:val="20"/>
        </w:rPr>
        <w:t xml:space="preserve">), early stopping on validation MAE (patience 15). The checkpoint at epoch 30 was frozen. Bias correction followed </w:t>
      </w:r>
      <w:r>
        <w:rPr>
          <w:rFonts w:ascii="Times New Roman" w:hAnsi="Times New Roman"/>
          <w:b w:val="0"/>
          <w:i w:val="0"/>
          <w:sz w:val="20"/>
        </w:rPr>
        <w:t>[3]</w:t>
      </w:r>
      <w:r>
        <w:rPr>
          <w:rFonts w:ascii="Times New Roman" w:hAnsi="Times New Roman"/>
          <w:b w:val="0"/>
          <w:i w:val="0"/>
          <w:sz w:val="20"/>
        </w:rPr>
        <w:t xml:space="preserve">: </w:t>
      </w:r>
      <w:r>
        <w:rPr>
          <w:rFonts w:ascii="Times New Roman" w:hAnsi="Times New Roman"/>
          <w:b w:val="0"/>
          <w:i w:val="0"/>
          <w:sz w:val="20"/>
        </w:rPr>
        <w:t>ŷ=a y+b</w:t>
      </w:r>
      <w:r>
        <w:rPr>
          <w:rFonts w:ascii="Times New Roman" w:hAnsi="Times New Roman"/>
          <w:b w:val="0"/>
          <w:i w:val="0"/>
          <w:sz w:val="20"/>
        </w:rPr>
        <w:t xml:space="preserve"> fitted on validation (</w:t>
      </w:r>
      <w:r>
        <w:rPr>
          <w:rFonts w:ascii="Times New Roman" w:hAnsi="Times New Roman"/>
          <w:b w:val="0"/>
          <w:i w:val="0"/>
          <w:sz w:val="20"/>
        </w:rPr>
        <w:t>a=0.832</w:t>
      </w:r>
      <w:r>
        <w:rPr>
          <w:rFonts w:ascii="Times New Roman" w:hAnsi="Times New Roman"/>
          <w:b w:val="0"/>
          <w:i w:val="0"/>
          <w:sz w:val="20"/>
        </w:rPr>
        <w:t xml:space="preserve">, </w:t>
      </w:r>
      <w:r>
        <w:rPr>
          <w:rFonts w:ascii="Times New Roman" w:hAnsi="Times New Roman"/>
          <w:b w:val="0"/>
          <w:i w:val="0"/>
          <w:sz w:val="20"/>
        </w:rPr>
        <w:t>b=8.30</w:t>
      </w:r>
      <w:r>
        <w:rPr>
          <w:rFonts w:ascii="Times New Roman" w:hAnsi="Times New Roman"/>
          <w:b w:val="0"/>
          <w:i w:val="0"/>
          <w:sz w:val="20"/>
        </w:rPr>
        <w:t xml:space="preserve">), corrected prediction </w:t>
      </w:r>
      <w:r>
        <w:rPr>
          <w:rFonts w:ascii="Times New Roman" w:hAnsi="Times New Roman"/>
          <w:b w:val="0"/>
          <w:i w:val="0"/>
          <w:sz w:val="20"/>
        </w:rPr>
        <w:t>(ŷ−b)/a</w:t>
      </w:r>
      <w:r>
        <w:rPr>
          <w:rFonts w:ascii="Times New Roman" w:hAnsi="Times New Roman"/>
          <w:b w:val="0"/>
          <w:i w:val="0"/>
          <w:sz w:val="20"/>
        </w:rPr>
        <w:t>.</w:t>
      </w:r>
    </w:p>
    <w:p>
      <w:pPr>
        <w:keepNext w:val="0"/>
        <w:spacing w:before="0" w:after="40" w:line="240" w:lineRule="auto"/>
        <w:ind w:firstLine="245"/>
        <w:jc w:val="both"/>
      </w:pPr>
      <w:r>
        <w:rPr>
          <w:rFonts w:ascii="Times New Roman" w:hAnsi="Times New Roman"/>
          <w:b/>
          <w:i w:val="0"/>
          <w:sz w:val="20"/>
        </w:rPr>
        <w:t>Cross-validated replication.</w:t>
      </w:r>
      <w:r>
        <w:rPr>
          <w:rFonts w:ascii="Times New Roman" w:hAnsi="Times New Roman"/>
          <w:b w:val="0"/>
          <w:i w:val="0"/>
          <w:sz w:val="20"/>
        </w:rPr>
        <w:t xml:space="preserve"> To estimate group effects on more than 18 held-out IOP subjects without touching the test set, the 412 train+validation subjects were split into 5 site-stratified folds; each fold was predicted by a model trained on the other four (85% training, 15% inner validation for early stopping and for that fold's bias correction). Full fine-tuning was infeasible on our CPU hardware, so the first three blocks were kept at the UK Biobank weights, which never saw IXI, and the remaining blocks and head were trained with the same objective and schedule. Every non-test subject thus receives an out-of-sample prediction (61 IOP). Training was repeated with [2] seeds, and the fold models' average forms an ensemble for the locked test set.</w:t>
      </w:r>
    </w:p>
    <w:p>
      <w:pPr>
        <w:keepNext/>
        <w:spacing w:before="80" w:after="40" w:line="240" w:lineRule="auto"/>
        <w:jc w:val="left"/>
      </w:pPr>
      <w:r>
        <w:rPr>
          <w:rFonts w:ascii="Times New Roman" w:hAnsi="Times New Roman"/>
          <w:b w:val="0"/>
          <w:i/>
          <w:sz w:val="20"/>
        </w:rPr>
        <w:t>B. Analysis plan</w:t>
      </w:r>
    </w:p>
    <w:p>
      <w:pPr>
        <w:keepNext w:val="0"/>
        <w:spacing w:before="0" w:after="40" w:line="240" w:lineRule="auto"/>
        <w:ind w:firstLine="245"/>
        <w:jc w:val="both"/>
      </w:pPr>
      <w:r>
        <w:rPr>
          <w:rFonts w:ascii="Times New Roman" w:hAnsi="Times New Roman"/>
          <w:b w:val="0"/>
          <w:i w:val="0"/>
          <w:sz w:val="20"/>
        </w:rPr>
        <w:t>Fixed before the test set was evaluated: the split, the exclusions, the bias-correction procedure, the attribution layer and method, and the regression model for group effects. Fixed before the cross-validation results were seen (and committed to the public repository with a timestamp): the equivalence margin, the graded verdict rules and the passport criteria below. The remaining analyses are tests of explanations for an effect already observed and are reported as such.</w:t>
      </w:r>
    </w:p>
    <w:p>
      <w:pPr>
        <w:keepNext/>
        <w:spacing w:before="80" w:after="40" w:line="240" w:lineRule="auto"/>
        <w:jc w:val="left"/>
      </w:pPr>
      <w:r>
        <w:rPr>
          <w:rFonts w:ascii="Times New Roman" w:hAnsi="Times New Roman"/>
          <w:b w:val="0"/>
          <w:i/>
          <w:sz w:val="20"/>
        </w:rPr>
        <w:t>C. Group fairness and graded verdicts</w:t>
      </w:r>
    </w:p>
    <w:p>
      <w:pPr>
        <w:keepNext w:val="0"/>
        <w:spacing w:before="0" w:after="40" w:line="240" w:lineRule="auto"/>
        <w:ind w:firstLine="245"/>
        <w:jc w:val="both"/>
      </w:pPr>
      <w:r>
        <w:rPr>
          <w:rFonts w:ascii="Times New Roman" w:hAnsi="Times New Roman"/>
          <w:b w:val="0"/>
          <w:i w:val="0"/>
          <w:sz w:val="20"/>
        </w:rPr>
        <w:t xml:space="preserve">Group effects were estimated with </w:t>
      </w:r>
      <w:r>
        <w:rPr>
          <w:rFonts w:ascii="Times New Roman" w:hAnsi="Times New Roman"/>
          <w:b w:val="0"/>
          <w:i w:val="0"/>
          <w:sz w:val="20"/>
        </w:rPr>
        <w:t>\mathrmoutcome ~ sex+site+age</w:t>
      </w:r>
      <w:r>
        <w:rPr>
          <w:rFonts w:ascii="Times New Roman" w:hAnsi="Times New Roman"/>
          <w:b w:val="0"/>
          <w:i w:val="0"/>
          <w:sz w:val="20"/>
        </w:rPr>
        <w:t xml:space="preserve"> (OLS, HC3 errors </w:t>
      </w:r>
      <w:r>
        <w:rPr>
          <w:rFonts w:ascii="Times New Roman" w:hAnsi="Times New Roman"/>
          <w:b w:val="0"/>
          <w:i w:val="0"/>
          <w:sz w:val="20"/>
        </w:rPr>
        <w:t>[45]</w:t>
      </w:r>
      <w:r>
        <w:rPr>
          <w:rFonts w:ascii="Times New Roman" w:hAnsi="Times New Roman"/>
          <w:b w:val="0"/>
          <w:i w:val="0"/>
          <w:sz w:val="20"/>
        </w:rPr>
        <w:t xml:space="preserve">) for corrected BAG and absolute error, with bootstrap CIs </w:t>
      </w:r>
      <w:r>
        <w:rPr>
          <w:rFonts w:ascii="Times New Roman" w:hAnsi="Times New Roman"/>
          <w:b w:val="0"/>
          <w:i w:val="0"/>
          <w:sz w:val="20"/>
        </w:rPr>
        <w:t>[46]</w:t>
      </w:r>
      <w:r>
        <w:rPr>
          <w:rFonts w:ascii="Times New Roman" w:hAnsi="Times New Roman"/>
          <w:b w:val="0"/>
          <w:i w:val="0"/>
          <w:sz w:val="20"/>
        </w:rPr>
        <w:t xml:space="preserve">. Each effect received a pre-specified verdict with margin </w:t>
      </w:r>
      <w:r>
        <w:rPr>
          <w:rFonts w:ascii="Times New Roman" w:hAnsi="Times New Roman"/>
          <w:b w:val="0"/>
          <w:i w:val="0"/>
          <w:sz w:val="20"/>
        </w:rPr>
        <w:t>±2</w:t>
      </w:r>
      <w:r>
        <w:rPr>
          <w:rFonts w:ascii="Times New Roman" w:hAnsi="Times New Roman"/>
          <w:b w:val="0"/>
          <w:i w:val="0"/>
          <w:sz w:val="20"/>
        </w:rPr>
        <w:t xml:space="preserve"> years (about half the MAE): PASS if equivalence is shown by two one-sided tests </w:t>
      </w:r>
      <w:r>
        <w:rPr>
          <w:rFonts w:ascii="Times New Roman" w:hAnsi="Times New Roman"/>
          <w:b w:val="0"/>
          <w:i w:val="0"/>
          <w:sz w:val="20"/>
        </w:rPr>
        <w:t>[47]</w:t>
      </w:r>
      <w:r>
        <w:rPr>
          <w:rFonts w:ascii="Times New Roman" w:hAnsi="Times New Roman"/>
          <w:b w:val="0"/>
          <w:i w:val="0"/>
          <w:sz w:val="20"/>
        </w:rPr>
        <w:t xml:space="preserve"> (90% CI within the margin); INCONCLUSIVE if the 95% CI includes zero without equivalence; CONCERN if it excludes zero but the effect is within the margin or does not replicate; FAIL if it excludes zero, exceeds the margin and replicates in an independent split. We report the minimum detectable effect at 80% power and Holm-adjusted </w:t>
      </w:r>
      <w:r>
        <w:rPr>
          <w:rFonts w:ascii="Times New Roman" w:hAnsi="Times New Roman"/>
          <w:b w:val="0"/>
          <w:i w:val="0"/>
          <w:sz w:val="20"/>
        </w:rPr>
        <w:t>[48]</w:t>
      </w:r>
      <w:r>
        <w:rPr>
          <w:rFonts w:ascii="Times New Roman" w:hAnsi="Times New Roman"/>
          <w:b w:val="0"/>
          <w:i w:val="0"/>
          <w:sz w:val="20"/>
        </w:rPr>
        <w:t xml:space="preserve"> </w:t>
      </w:r>
      <w:r>
        <w:rPr>
          <w:rFonts w:ascii="Times New Roman" w:hAnsi="Times New Roman"/>
          <w:b w:val="0"/>
          <w:i w:val="0"/>
          <w:sz w:val="20"/>
        </w:rPr>
        <w:t>p</w:t>
      </w:r>
      <w:r>
        <w:rPr>
          <w:rFonts w:ascii="Times New Roman" w:hAnsi="Times New Roman"/>
          <w:b w:val="0"/>
          <w:i w:val="0"/>
          <w:sz w:val="20"/>
        </w:rPr>
        <w:t>-values across all group comparisons. Leave-one-site-out models (trained without one site) measured generalisation to an unseen site.</w:t>
      </w:r>
    </w:p>
    <w:p>
      <w:pPr>
        <w:keepNext/>
        <w:spacing w:before="80" w:after="40" w:line="240" w:lineRule="auto"/>
        <w:jc w:val="left"/>
      </w:pPr>
      <w:r>
        <w:rPr>
          <w:rFonts w:ascii="Times New Roman" w:hAnsi="Times New Roman"/>
          <w:b w:val="0"/>
          <w:i/>
          <w:sz w:val="20"/>
        </w:rPr>
        <w:t>D. Robustness of the site effect to age</w:t>
      </w:r>
    </w:p>
    <w:p>
      <w:pPr>
        <w:keepNext w:val="0"/>
        <w:spacing w:before="0" w:after="40" w:line="240" w:lineRule="auto"/>
        <w:ind w:firstLine="245"/>
        <w:jc w:val="both"/>
      </w:pPr>
      <w:r>
        <w:rPr>
          <w:rFonts w:ascii="Times New Roman" w:hAnsi="Times New Roman"/>
          <w:b w:val="0"/>
          <w:i w:val="0"/>
          <w:sz w:val="20"/>
        </w:rPr>
        <w:t xml:space="preserve"> The IOP-vs-Guys effect was re-estimated under: (a) no bias correction; (b) correction fitted on validation; (c) correction fitted on train; (d) age as a covariate of the raw prediction </w:t>
      </w:r>
      <w:r>
        <w:rPr>
          <w:rFonts w:ascii="Times New Roman" w:hAnsi="Times New Roman"/>
          <w:b w:val="0"/>
          <w:i w:val="0"/>
          <w:sz w:val="20"/>
        </w:rPr>
        <w:t>[22]</w:t>
      </w:r>
      <w:r>
        <w:rPr>
          <w:rFonts w:ascii="Times New Roman" w:hAnsi="Times New Roman"/>
          <w:b w:val="0"/>
          <w:i w:val="0"/>
          <w:sz w:val="20"/>
        </w:rPr>
        <w:t>; (e) a B-spline of age (4 df); (f) Guys and HH restricted to IOP's age range; (g) 1:1 age- and sex-matched IOP–Guys pairs (caliper 3 years); and (h) native brain volume added as a covariate, because registration removes head size from the input. We also inspected gaps of the youngest subjects, near the lower edge of the label range.</w:t>
      </w:r>
    </w:p>
    <w:p>
      <w:pPr>
        <w:keepNext/>
        <w:spacing w:before="80" w:after="40" w:line="240" w:lineRule="auto"/>
        <w:jc w:val="left"/>
      </w:pPr>
      <w:r>
        <w:rPr>
          <w:rFonts w:ascii="Times New Roman" w:hAnsi="Times New Roman"/>
          <w:b w:val="0"/>
          <w:i/>
          <w:sz w:val="20"/>
        </w:rPr>
        <w:t>E. Is the offset learned?</w:t>
      </w:r>
    </w:p>
    <w:p>
      <w:pPr>
        <w:keepNext w:val="0"/>
        <w:spacing w:before="0" w:after="40" w:line="240" w:lineRule="auto"/>
        <w:ind w:firstLine="245"/>
        <w:jc w:val="both"/>
      </w:pPr>
      <w:r>
        <w:rPr>
          <w:rFonts w:ascii="Times New Roman" w:hAnsi="Times New Roman"/>
          <w:b w:val="0"/>
          <w:i w:val="0"/>
          <w:sz w:val="20"/>
        </w:rPr>
        <w:t>The UK Biobank model never saw IXI, so its predictions for all subjects aged 42–82 (its output range) show whether the offset exists before fine-tuning. In the cross-validation runs, the gaps of training and out-of-sample IOP subjects were recorded at every epoch.</w:t>
      </w:r>
    </w:p>
    <w:p>
      <w:pPr>
        <w:keepNext/>
        <w:spacing w:before="80" w:after="40" w:line="240" w:lineRule="auto"/>
        <w:jc w:val="left"/>
      </w:pPr>
      <w:r>
        <w:rPr>
          <w:rFonts w:ascii="Times New Roman" w:hAnsi="Times New Roman"/>
          <w:b w:val="0"/>
          <w:i/>
          <w:sz w:val="20"/>
        </w:rPr>
        <w:t>F. Acquisition sensitivity</w:t>
      </w:r>
    </w:p>
    <w:p>
      <w:pPr>
        <w:keepNext w:val="0"/>
        <w:spacing w:before="0" w:after="40" w:line="240" w:lineRule="auto"/>
        <w:ind w:firstLine="245"/>
        <w:jc w:val="both"/>
      </w:pPr>
      <w:r>
        <w:rPr>
          <w:rFonts w:ascii="Times New Roman" w:hAnsi="Times New Roman"/>
          <w:b/>
          <w:i w:val="0"/>
          <w:sz w:val="20"/>
        </w:rPr>
        <w:t>Site probe.</w:t>
      </w:r>
      <w:r>
        <w:rPr>
          <w:rFonts w:ascii="Times New Roman" w:hAnsi="Times New Roman"/>
          <w:b w:val="0"/>
          <w:i w:val="0"/>
          <w:sz w:val="20"/>
        </w:rPr>
        <w:t xml:space="preserve"> A class-balanced multinomial logistic regression </w:t>
      </w:r>
      <w:r>
        <w:rPr>
          <w:rFonts w:ascii="Times New Roman" w:hAnsi="Times New Roman"/>
          <w:b w:val="0"/>
          <w:i w:val="0"/>
          <w:sz w:val="20"/>
        </w:rPr>
        <w:t>[26]</w:t>
      </w:r>
      <w:r>
        <w:rPr>
          <w:rFonts w:ascii="Times New Roman" w:hAnsi="Times New Roman"/>
          <w:b w:val="0"/>
          <w:i w:val="0"/>
          <w:sz w:val="20"/>
        </w:rPr>
        <w:t xml:space="preserve"> was trained on train subjects' 64-d features with age, age</w:t>
      </w:r>
      <w:r>
        <w:rPr>
          <w:rFonts w:ascii="Times New Roman" w:hAnsi="Times New Roman"/>
          <w:b w:val="0"/>
          <w:i w:val="0"/>
          <w:sz w:val="20"/>
        </w:rPr>
        <w:t>²</w:t>
      </w:r>
      <w:r>
        <w:rPr>
          <w:rFonts w:ascii="Times New Roman" w:hAnsi="Times New Roman"/>
          <w:b w:val="0"/>
          <w:i w:val="0"/>
          <w:sz w:val="20"/>
        </w:rPr>
        <w:t xml:space="preserve"> and sex regressed out and scored on held-out subjects (balanced accuracy), against a null from 30 label permutations.</w:t>
      </w:r>
    </w:p>
    <w:p>
      <w:pPr>
        <w:keepNext w:val="0"/>
        <w:spacing w:before="0" w:after="40" w:line="240" w:lineRule="auto"/>
        <w:ind w:firstLine="245"/>
        <w:jc w:val="both"/>
      </w:pPr>
      <w:r>
        <w:rPr>
          <w:rFonts w:ascii="Times New Roman" w:hAnsi="Times New Roman"/>
          <w:b/>
          <w:i w:val="0"/>
          <w:sz w:val="20"/>
        </w:rPr>
        <w:t>Stress test.</w:t>
      </w:r>
      <w:r>
        <w:rPr>
          <w:rFonts w:ascii="Times New Roman" w:hAnsi="Times New Roman"/>
          <w:b w:val="0"/>
          <w:i w:val="0"/>
          <w:sz w:val="20"/>
        </w:rPr>
        <w:t xml:space="preserve"> Each held-out brain's intensity distribution was quantile-matched </w:t>
      </w:r>
      <w:r>
        <w:rPr>
          <w:rFonts w:ascii="Times New Roman" w:hAnsi="Times New Roman"/>
          <w:b w:val="0"/>
          <w:i w:val="0"/>
          <w:sz w:val="20"/>
        </w:rPr>
        <w:t>[31]</w:t>
      </w:r>
      <w:r>
        <w:rPr>
          <w:rFonts w:ascii="Times New Roman" w:hAnsi="Times New Roman"/>
          <w:b w:val="0"/>
          <w:i w:val="0"/>
          <w:sz w:val="20"/>
        </w:rPr>
        <w:t xml:space="preserve"> to each site's reference and re-predicted. References came from train subjects and were standardised to a common age and sex mix (per-site regression of the quantile vector on age, age</w:t>
      </w:r>
      <w:r>
        <w:rPr>
          <w:rFonts w:ascii="Times New Roman" w:hAnsi="Times New Roman"/>
          <w:b w:val="0"/>
          <w:i w:val="0"/>
          <w:sz w:val="20"/>
        </w:rPr>
        <w:t>²</w:t>
      </w:r>
      <w:r>
        <w:rPr>
          <w:rFonts w:ascii="Times New Roman" w:hAnsi="Times New Roman"/>
          <w:b w:val="0"/>
          <w:i w:val="0"/>
          <w:sz w:val="20"/>
        </w:rPr>
        <w:t xml:space="preserve"> and sex, evaluated at the pooled mean), because tissue contrast itself carries age information. Effects are relative to matching to the subject's own site. Contrast, noise, blur and non-uniformity were also varied singly on 40 subjects. The test was repeated with the cross-validated models.</w:t>
      </w:r>
    </w:p>
    <w:p>
      <w:pPr>
        <w:keepNext/>
        <w:spacing w:before="80" w:after="40" w:line="240" w:lineRule="auto"/>
        <w:jc w:val="left"/>
      </w:pPr>
      <w:r>
        <w:rPr>
          <w:rFonts w:ascii="Times New Roman" w:hAnsi="Times New Roman"/>
          <w:b w:val="0"/>
          <w:i/>
          <w:sz w:val="20"/>
        </w:rPr>
        <w:t>G. Explaining the disparity</w:t>
      </w:r>
    </w:p>
    <w:p>
      <w:pPr>
        <w:keepNext w:val="0"/>
        <w:spacing w:before="0" w:after="40" w:line="240" w:lineRule="auto"/>
        <w:ind w:firstLine="245"/>
        <w:jc w:val="both"/>
      </w:pPr>
      <w:r>
        <w:rPr>
          <w:rFonts w:ascii="Times New Roman" w:hAnsi="Times New Roman"/>
          <w:b/>
          <w:i w:val="0"/>
          <w:sz w:val="20"/>
        </w:rPr>
        <w:t>Image properties.</w:t>
      </w:r>
      <w:r>
        <w:rPr>
          <w:rFonts w:ascii="Times New Roman" w:hAnsi="Times New Roman"/>
          <w:b w:val="0"/>
          <w:i w:val="0"/>
          <w:sz w:val="20"/>
        </w:rPr>
        <w:t xml:space="preserve"> We compared native resolution and three sharpness measures (gradient, Laplacian, smoothness FWHM </w:t>
      </w:r>
      <w:r>
        <w:rPr>
          <w:rFonts w:ascii="Times New Roman" w:hAnsi="Times New Roman"/>
          <w:b w:val="0"/>
          <w:i w:val="0"/>
          <w:sz w:val="20"/>
        </w:rPr>
        <w:t>[49]</w:t>
      </w:r>
      <w:r>
        <w:rPr>
          <w:rFonts w:ascii="Times New Roman" w:hAnsi="Times New Roman"/>
          <w:b w:val="0"/>
          <w:i w:val="0"/>
          <w:sz w:val="20"/>
        </w:rPr>
        <w:t>) across sites, and blurred each held-out Guys and HH brain to IOP's adjusted smoothness.</w:t>
      </w:r>
    </w:p>
    <w:p>
      <w:pPr>
        <w:keepNext w:val="0"/>
        <w:spacing w:before="0" w:after="40" w:line="240" w:lineRule="auto"/>
        <w:ind w:firstLine="245"/>
        <w:jc w:val="both"/>
      </w:pPr>
      <w:r>
        <w:rPr>
          <w:rFonts w:ascii="Times New Roman" w:hAnsi="Times New Roman"/>
          <w:b/>
          <w:i w:val="0"/>
          <w:sz w:val="20"/>
        </w:rPr>
        <w:t>Removing site from the features.</w:t>
      </w:r>
      <w:r>
        <w:rPr>
          <w:rFonts w:ascii="Times New Roman" w:hAnsi="Times New Roman"/>
          <w:b w:val="0"/>
          <w:i w:val="0"/>
          <w:sz w:val="20"/>
        </w:rPr>
        <w:t xml:space="preserve"> Site was removed from the 64-d features, with parameters from train only, by ComBat </w:t>
      </w:r>
      <w:r>
        <w:rPr>
          <w:rFonts w:ascii="Times New Roman" w:hAnsi="Times New Roman"/>
          <w:b w:val="0"/>
          <w:i w:val="0"/>
          <w:sz w:val="20"/>
        </w:rPr>
        <w:t>[18], [28]</w:t>
      </w:r>
      <w:r>
        <w:rPr>
          <w:rFonts w:ascii="Times New Roman" w:hAnsi="Times New Roman"/>
          <w:b w:val="0"/>
          <w:i w:val="0"/>
          <w:sz w:val="20"/>
        </w:rPr>
        <w:t xml:space="preserve"> (linear age, age</w:t>
      </w:r>
      <w:r>
        <w:rPr>
          <w:rFonts w:ascii="Times New Roman" w:hAnsi="Times New Roman"/>
          <w:b w:val="0"/>
          <w:i w:val="0"/>
          <w:sz w:val="20"/>
        </w:rPr>
        <w:t>²</w:t>
      </w:r>
      <w:r>
        <w:rPr>
          <w:rFonts w:ascii="Times New Roman" w:hAnsi="Times New Roman"/>
          <w:b w:val="0"/>
          <w:i w:val="0"/>
          <w:sz w:val="20"/>
        </w:rPr>
        <w:t xml:space="preserve">, sex preserved), ComBat-GAM-style harmonisation </w:t>
      </w:r>
      <w:r>
        <w:rPr>
          <w:rFonts w:ascii="Times New Roman" w:hAnsi="Times New Roman"/>
          <w:b w:val="0"/>
          <w:i w:val="0"/>
          <w:sz w:val="20"/>
        </w:rPr>
        <w:t>[29]</w:t>
      </w:r>
      <w:r>
        <w:rPr>
          <w:rFonts w:ascii="Times New Roman" w:hAnsi="Times New Roman"/>
          <w:b w:val="0"/>
          <w:i w:val="0"/>
          <w:sz w:val="20"/>
        </w:rPr>
        <w:t xml:space="preserve"> (spline age), and LEACE concept erasure </w:t>
      </w:r>
      <w:r>
        <w:rPr>
          <w:rFonts w:ascii="Times New Roman" w:hAnsi="Times New Roman"/>
          <w:b w:val="0"/>
          <w:i w:val="0"/>
          <w:sz w:val="20"/>
        </w:rPr>
        <w:t>[27]</w:t>
      </w:r>
      <w:r>
        <w:rPr>
          <w:rFonts w:ascii="Times New Roman" w:hAnsi="Times New Roman"/>
          <w:b w:val="0"/>
          <w:i w:val="0"/>
          <w:sz w:val="20"/>
        </w:rPr>
        <w:t>, both plain and conditional (erasing site only from the part of the features not explained by age and sex). Age was re-predicted through the model's own head, which reproduces the model exactly on the original features.</w:t>
      </w:r>
    </w:p>
    <w:p>
      <w:pPr>
        <w:keepNext w:val="0"/>
        <w:spacing w:before="0" w:after="40" w:line="240" w:lineRule="auto"/>
        <w:ind w:firstLine="245"/>
        <w:jc w:val="both"/>
      </w:pPr>
      <w:r>
        <w:rPr>
          <w:rFonts w:ascii="Times New Roman" w:hAnsi="Times New Roman"/>
          <w:b/>
          <w:i w:val="0"/>
          <w:sz w:val="20"/>
        </w:rPr>
        <w:t>Cohort characteristics.</w:t>
      </w:r>
      <w:r>
        <w:rPr>
          <w:rFonts w:ascii="Times New Roman" w:hAnsi="Times New Roman"/>
          <w:b w:val="0"/>
          <w:i w:val="0"/>
          <w:sz w:val="20"/>
        </w:rPr>
        <w:t xml:space="preserve"> IXI records education, ethnicity, height and weight. We compared sites on university degree, ethnicity and BMI and added them as covariates to the site model, using the zero-shot, main and cross-validated predictions. We also report the ethnicity effect itself.</w:t>
      </w:r>
    </w:p>
    <w:p>
      <w:pPr>
        <w:keepNext/>
        <w:spacing w:before="80" w:after="40" w:line="240" w:lineRule="auto"/>
        <w:jc w:val="left"/>
      </w:pPr>
      <w:r>
        <w:rPr>
          <w:rFonts w:ascii="Times New Roman" w:hAnsi="Times New Roman"/>
          <w:b w:val="0"/>
          <w:i/>
          <w:sz w:val="20"/>
        </w:rPr>
        <w:t>H. Attribution and its validity</w:t>
      </w:r>
    </w:p>
    <w:p>
      <w:pPr>
        <w:keepNext w:val="0"/>
        <w:spacing w:before="0" w:after="40" w:line="240" w:lineRule="auto"/>
        <w:ind w:firstLine="245"/>
        <w:jc w:val="both"/>
      </w:pPr>
      <w:r>
        <w:rPr>
          <w:rFonts w:ascii="Times New Roman" w:hAnsi="Times New Roman"/>
          <w:b w:val="0"/>
          <w:i w:val="0"/>
          <w:sz w:val="20"/>
        </w:rPr>
        <w:t xml:space="preserve">Standard Grad-CAM </w:t>
      </w:r>
      <w:r>
        <w:rPr>
          <w:rFonts w:ascii="Times New Roman" w:hAnsi="Times New Roman"/>
          <w:b w:val="0"/>
          <w:i w:val="0"/>
          <w:sz w:val="20"/>
        </w:rPr>
        <w:t>[32]</w:t>
      </w:r>
      <w:r>
        <w:rPr>
          <w:rFonts w:ascii="Times New Roman" w:hAnsi="Times New Roman"/>
          <w:b w:val="0"/>
          <w:i w:val="0"/>
          <w:sz w:val="20"/>
        </w:rPr>
        <w:t xml:space="preserve"> produced empty maps for many subjects, so we used location-wise gradient </w:t>
      </w:r>
      <w:r>
        <w:rPr>
          <w:rFonts w:ascii="Times New Roman" w:hAnsi="Times New Roman"/>
          <w:b w:val="0"/>
          <w:i w:val="0"/>
          <w:sz w:val="20"/>
        </w:rPr>
        <w:t>×</w:t>
      </w:r>
      <w:r>
        <w:rPr>
          <w:rFonts w:ascii="Times New Roman" w:hAnsi="Times New Roman"/>
          <w:b w:val="0"/>
          <w:i w:val="0"/>
          <w:sz w:val="20"/>
        </w:rPr>
        <w:t xml:space="preserve"> activation (HiResCAM-style </w:t>
      </w:r>
      <w:r>
        <w:rPr>
          <w:rFonts w:ascii="Times New Roman" w:hAnsi="Times New Roman"/>
          <w:b w:val="0"/>
          <w:i w:val="0"/>
          <w:sz w:val="20"/>
        </w:rPr>
        <w:t>[33]</w:t>
      </w:r>
      <w:r>
        <w:rPr>
          <w:rFonts w:ascii="Times New Roman" w:hAnsi="Times New Roman"/>
          <w:b w:val="0"/>
          <w:i w:val="0"/>
          <w:sz w:val="20"/>
        </w:rPr>
        <w:t xml:space="preserve">) at block </w:t>
      </w:r>
      <w:r>
        <w:rPr>
          <w:rFonts w:ascii="Consolas" w:hAnsi="Consolas"/>
          <w:b w:val="0"/>
          <w:i w:val="0"/>
          <w:sz w:val="20"/>
        </w:rPr>
        <w:t>conv_2</w:t>
      </w:r>
      <w:r>
        <w:rPr>
          <w:rFonts w:ascii="Times New Roman" w:hAnsi="Times New Roman"/>
          <w:b w:val="0"/>
          <w:i w:val="0"/>
          <w:sz w:val="20"/>
        </w:rPr>
        <w:t xml:space="preserve"> (8 mm cells), chosen before any group comparison. Maps were summarised by Harvard–Oxford region </w:t>
      </w:r>
      <w:r>
        <w:rPr>
          <w:rFonts w:ascii="Times New Roman" w:hAnsi="Times New Roman"/>
          <w:b w:val="0"/>
          <w:i w:val="0"/>
          <w:sz w:val="20"/>
        </w:rPr>
        <w:t>[50]</w:t>
      </w:r>
      <w:r>
        <w:rPr>
          <w:rFonts w:ascii="Times New Roman" w:hAnsi="Times New Roman"/>
          <w:b w:val="0"/>
          <w:i w:val="0"/>
          <w:sz w:val="20"/>
        </w:rPr>
        <w:t xml:space="preserve">, both as shares and as density (share divided by the region's share of brain volume), with FDR correction </w:t>
      </w:r>
      <w:r>
        <w:rPr>
          <w:rFonts w:ascii="Times New Roman" w:hAnsi="Times New Roman"/>
          <w:b w:val="0"/>
          <w:i w:val="0"/>
          <w:sz w:val="20"/>
        </w:rPr>
        <w:t>[51]</w:t>
      </w:r>
      <w:r>
        <w:rPr>
          <w:rFonts w:ascii="Times New Roman" w:hAnsi="Times New Roman"/>
          <w:b w:val="0"/>
          <w:i w:val="0"/>
          <w:sz w:val="20"/>
        </w:rPr>
        <w:t xml:space="preserve">. Validity: a cascading randomisation check </w:t>
      </w:r>
      <w:r>
        <w:rPr>
          <w:rFonts w:ascii="Times New Roman" w:hAnsi="Times New Roman"/>
          <w:b w:val="0"/>
          <w:i w:val="0"/>
          <w:sz w:val="20"/>
        </w:rPr>
        <w:t>[15]</w:t>
      </w:r>
      <w:r>
        <w:rPr>
          <w:rFonts w:ascii="Times New Roman" w:hAnsi="Times New Roman"/>
          <w:b w:val="0"/>
          <w:i w:val="0"/>
          <w:sz w:val="20"/>
        </w:rPr>
        <w:t xml:space="preserve">; a deletion test </w:t>
      </w:r>
      <w:r>
        <w:rPr>
          <w:rFonts w:ascii="Times New Roman" w:hAnsi="Times New Roman"/>
          <w:b w:val="0"/>
          <w:i w:val="0"/>
          <w:sz w:val="20"/>
        </w:rPr>
        <w:t>[16], [35]</w:t>
      </w:r>
      <w:r>
        <w:rPr>
          <w:rFonts w:ascii="Times New Roman" w:hAnsi="Times New Roman"/>
          <w:b w:val="0"/>
          <w:i w:val="0"/>
          <w:sz w:val="20"/>
        </w:rPr>
        <w:t xml:space="preserve"> on 60 held-out subjects removing top-, bottom- or randomly-ranked 5/10% of cells with two baselines (heavy smoothing, and the brain's mean intensity, which involves no blur), reporting signed and absolute changes; and agreement with Integrated Gradients </w:t>
      </w:r>
      <w:r>
        <w:rPr>
          <w:rFonts w:ascii="Times New Roman" w:hAnsi="Times New Roman"/>
          <w:b w:val="0"/>
          <w:i w:val="0"/>
          <w:sz w:val="20"/>
        </w:rPr>
        <w:t>[34]</w:t>
      </w:r>
      <w:r>
        <w:rPr>
          <w:rFonts w:ascii="Times New Roman" w:hAnsi="Times New Roman"/>
          <w:b w:val="0"/>
          <w:i w:val="0"/>
          <w:sz w:val="20"/>
        </w:rPr>
        <w:t xml:space="preserve"> (zero baseline, 16 steps) on 20 subjects.</w:t>
      </w:r>
    </w:p>
    <w:p>
      <w:pPr>
        <w:keepNext/>
        <w:spacing w:before="80" w:after="40" w:line="240" w:lineRule="auto"/>
        <w:jc w:val="left"/>
      </w:pPr>
      <w:r>
        <w:rPr>
          <w:rFonts w:ascii="Times New Roman" w:hAnsi="Times New Roman"/>
          <w:b w:val="0"/>
          <w:i/>
          <w:sz w:val="20"/>
        </w:rPr>
        <w:t>I. Uncertainty</w:t>
      </w:r>
    </w:p>
    <w:p>
      <w:pPr>
        <w:keepNext w:val="0"/>
        <w:spacing w:before="0" w:after="40" w:line="240" w:lineRule="auto"/>
        <w:ind w:firstLine="245"/>
        <w:jc w:val="both"/>
      </w:pPr>
      <w:r>
        <w:rPr>
          <w:rFonts w:ascii="Times New Roman" w:hAnsi="Times New Roman"/>
          <w:b w:val="0"/>
          <w:i w:val="0"/>
          <w:sz w:val="20"/>
        </w:rPr>
        <w:t xml:space="preserve">We assessed the model's own predictive distribution (coverage and width of its central 50/80/90/95% ranges, per site), split-conformal intervals from out-of-fold absolute residuals </w:t>
      </w:r>
      <w:r>
        <w:rPr>
          <w:rFonts w:ascii="Times New Roman" w:hAnsi="Times New Roman"/>
          <w:b w:val="0"/>
          <w:i w:val="0"/>
          <w:sz w:val="20"/>
        </w:rPr>
        <w:t>[39]</w:t>
      </w:r>
      <w:r>
        <w:rPr>
          <w:rFonts w:ascii="Times New Roman" w:hAnsi="Times New Roman"/>
          <w:b w:val="0"/>
          <w:i w:val="0"/>
          <w:sz w:val="20"/>
        </w:rPr>
        <w:t xml:space="preserve">, pooled and per site (Mondrian </w:t>
      </w:r>
      <w:r>
        <w:rPr>
          <w:rFonts w:ascii="Times New Roman" w:hAnsi="Times New Roman"/>
          <w:b w:val="0"/>
          <w:i w:val="0"/>
          <w:sz w:val="20"/>
        </w:rPr>
        <w:t>[38]</w:t>
      </w:r>
      <w:r>
        <w:rPr>
          <w:rFonts w:ascii="Times New Roman" w:hAnsi="Times New Roman"/>
          <w:b w:val="0"/>
          <w:i w:val="0"/>
          <w:sz w:val="20"/>
        </w:rPr>
        <w:t xml:space="preserve">), and the spread of the seed ensemble </w:t>
      </w:r>
      <w:r>
        <w:rPr>
          <w:rFonts w:ascii="Times New Roman" w:hAnsi="Times New Roman"/>
          <w:b w:val="0"/>
          <w:i w:val="0"/>
          <w:sz w:val="20"/>
        </w:rPr>
        <w:t>[37]</w:t>
      </w:r>
      <w:r>
        <w:rPr>
          <w:rFonts w:ascii="Times New Roman" w:hAnsi="Times New Roman"/>
          <w:b w:val="0"/>
          <w:i w:val="0"/>
          <w:sz w:val="20"/>
        </w:rPr>
        <w:t xml:space="preserve">. Training with </w:t>
      </w:r>
      <w:r>
        <w:rPr>
          <w:rFonts w:ascii="Times New Roman" w:hAnsi="Times New Roman"/>
          <w:b w:val="0"/>
          <w:i w:val="0"/>
          <w:sz w:val="20"/>
        </w:rPr>
        <w:t>σ=2</w:t>
      </w:r>
      <w:r>
        <w:rPr>
          <w:rFonts w:ascii="Times New Roman" w:hAnsi="Times New Roman"/>
          <w:b w:val="0"/>
          <w:i w:val="0"/>
          <w:sz w:val="20"/>
        </w:rPr>
        <w:t xml:space="preserve"> soft labels sets a floor of about 2 years on the model's own spread.</w:t>
      </w:r>
    </w:p>
    <w:p>
      <w:pPr>
        <w:keepNext/>
        <w:spacing w:before="160" w:after="80" w:line="240" w:lineRule="auto"/>
        <w:jc w:val="center"/>
      </w:pPr>
      <w:r>
        <w:rPr>
          <w:rFonts w:ascii="Times New Roman" w:hAnsi="Times New Roman"/>
          <w:b w:val="0"/>
          <w:i w:val="0"/>
          <w:sz w:val="19"/>
        </w:rPr>
        <w:t>V. RESULTS</w:t>
      </w:r>
    </w:p>
    <w:p>
      <w:pPr>
        <w:keepNext/>
        <w:spacing w:before="80" w:after="40" w:line="240" w:lineRule="auto"/>
        <w:jc w:val="left"/>
      </w:pPr>
      <w:r>
        <w:rPr>
          <w:rFonts w:ascii="Times New Roman" w:hAnsi="Times New Roman"/>
          <w:b w:val="0"/>
          <w:i/>
          <w:sz w:val="20"/>
        </w:rPr>
        <w:t>A. Accuracy</w:t>
      </w:r>
    </w:p>
    <w:p>
      <w:pPr>
        <w:keepNext w:val="0"/>
        <w:spacing w:before="0" w:after="40" w:line="240" w:lineRule="auto"/>
        <w:ind w:firstLine="245"/>
        <w:jc w:val="both"/>
      </w:pPr>
      <w:r>
        <w:rPr>
          <w:rFonts w:ascii="Times New Roman" w:hAnsi="Times New Roman"/>
          <w:b w:val="0"/>
          <w:i w:val="0"/>
          <w:sz w:val="20"/>
        </w:rPr>
        <w:t>The UK Biobank SFCN without fine-tuning had a validation MAE of 10.21 years (</w:t>
      </w:r>
      <w:r>
        <w:rPr>
          <w:rFonts w:ascii="Times New Roman" w:hAnsi="Times New Roman"/>
          <w:b w:val="0"/>
          <w:i w:val="0"/>
          <w:sz w:val="20"/>
        </w:rPr>
        <w:t>r=0.910</w:t>
      </w:r>
      <w:r>
        <w:rPr>
          <w:rFonts w:ascii="Times New Roman" w:hAnsi="Times New Roman"/>
          <w:b w:val="0"/>
          <w:i w:val="0"/>
          <w:sz w:val="20"/>
        </w:rPr>
        <w:t xml:space="preserve">), because its head cannot predict outside 42–82. Fine-tuning reduced it to 3.90. On the test set, evaluated once, the MAE was </w:t>
      </w:r>
      <w:r>
        <w:rPr>
          <w:rFonts w:ascii="Times New Roman" w:hAnsi="Times New Roman"/>
          <w:b/>
          <w:i w:val="0"/>
          <w:sz w:val="20"/>
        </w:rPr>
        <w:t>3.71</w:t>
      </w:r>
      <w:r>
        <w:rPr>
          <w:rFonts w:ascii="Times New Roman" w:hAnsi="Times New Roman"/>
          <w:b w:val="0"/>
          <w:i w:val="0"/>
          <w:sz w:val="20"/>
        </w:rPr>
        <w:t xml:space="preserve"> years [3.10, 4.38] and </w:t>
      </w:r>
      <w:r>
        <w:rPr>
          <w:rFonts w:ascii="Times New Roman" w:hAnsi="Times New Roman"/>
          <w:b w:val="0"/>
          <w:i w:val="0"/>
          <w:sz w:val="20"/>
        </w:rPr>
        <w:t>r=0.966</w:t>
      </w:r>
      <w:r>
        <w:rPr>
          <w:rFonts w:ascii="Times New Roman" w:hAnsi="Times New Roman"/>
          <w:b w:val="0"/>
          <w:i w:val="0"/>
          <w:sz w:val="20"/>
        </w:rPr>
        <w:t xml:space="preserve"> (Table </w:t>
      </w:r>
      <w:r>
        <w:rPr>
          <w:rFonts w:ascii="Times New Roman" w:hAnsi="Times New Roman"/>
          <w:b w:val="0"/>
          <w:i w:val="0"/>
          <w:sz w:val="20"/>
        </w:rPr>
        <w:t>II</w:t>
      </w:r>
      <w:r>
        <w:rPr>
          <w:rFonts w:ascii="Times New Roman" w:hAnsi="Times New Roman"/>
          <w:b w:val="0"/>
          <w:i w:val="0"/>
          <w:sz w:val="20"/>
        </w:rPr>
        <w:t>). The cross-validated models reached an out-of-sample MAE of [CV MAE] over all 412 non-test subjects, and their ensemble [ensemble test MAE] on the test set. An independently fine-tuned SFCN and DeepBrainNet reached test MAE 4.07 and 4.53.</w:t>
      </w:r>
    </w:p>
    <w:p>
      <w:pPr>
        <w:keepNext/>
        <w:spacing w:before="120" w:after="0" w:line="240" w:lineRule="auto"/>
        <w:jc w:val="center"/>
      </w:pPr>
      <w:r>
        <w:rPr>
          <w:rFonts w:ascii="Times New Roman" w:hAnsi="Times New Roman"/>
          <w:b w:val="0"/>
          <w:i w:val="0"/>
          <w:sz w:val="16"/>
        </w:rPr>
        <w:t>TABLE II</w:t>
      </w:r>
    </w:p>
    <w:p>
      <w:pPr>
        <w:keepNext/>
        <w:spacing w:before="0" w:after="60" w:line="240" w:lineRule="auto"/>
        <w:jc w:val="center"/>
      </w:pPr>
      <w:r>
        <w:rPr>
          <w:rFonts w:ascii="Times New Roman" w:hAnsi="Times New Roman"/>
          <w:b w:val="0"/>
          <w:i w:val="0"/>
          <w:sz w:val="16"/>
        </w:rPr>
        <w:t>Accuracy (95% bootstrap CI)</w:t>
      </w:r>
    </w:p>
    <w:tbl>
      <w:tblPr>
        <w:tblW w:type="auto" w:w="0"/>
        <w:jc w:val="center"/>
        <w:tblLook w:firstColumn="1" w:firstRow="1" w:lastColumn="0" w:lastRow="0" w:noHBand="0" w:noVBand="1" w:val="04A0"/>
      </w:tblPr>
      <w:tblGrid>
        <w:gridCol w:w="3437"/>
        <w:gridCol w:w="3437"/>
        <w:gridCol w:w="3437"/>
      </w:tblGrid>
      <w:tr>
        <w:tc>
          <w:tcPr>
            <w:tcW w:type="dxa" w:w="3437"/>
            <w:tcBorders>
              <w:top w:val="single" w:sz="8"/>
              <w:bottom w:val="nil" w:sz="0"/>
              <w:left w:val="nil"/>
              <w:right w:val="nil"/>
            </w:tcBorders>
          </w:tcPr>
          <w:p>
            <w:pPr>
              <w:spacing w:before="20" w:after="20"/>
              <w:jc w:val="left"/>
            </w:pPr>
            <w:r>
              <w:rPr>
                <w:rFonts w:ascii="Times New Roman" w:hAnsi="Times New Roman"/>
                <w:b/>
                <w:i w:val="0"/>
                <w:sz w:val="16"/>
              </w:rPr>
              <w:t>Model and data</w:t>
            </w:r>
          </w:p>
        </w:tc>
        <w:tc>
          <w:tcPr>
            <w:tcW w:type="dxa" w:w="3437"/>
            <w:tcBorders>
              <w:top w:val="single" w:sz="8"/>
              <w:bottom w:val="nil" w:sz="0"/>
              <w:left w:val="nil"/>
              <w:right w:val="nil"/>
            </w:tcBorders>
          </w:tcPr>
          <w:p>
            <w:pPr>
              <w:spacing w:before="20" w:after="20"/>
              <w:jc w:val="center"/>
            </w:pPr>
            <w:r>
              <w:rPr>
                <w:rFonts w:ascii="Times New Roman" w:hAnsi="Times New Roman"/>
                <w:b/>
                <w:i w:val="0"/>
                <w:sz w:val="16"/>
              </w:rPr>
              <w:t>MAE (years)</w:t>
            </w:r>
          </w:p>
        </w:tc>
        <w:tc>
          <w:tcPr>
            <w:tcW w:type="dxa" w:w="3437"/>
            <w:tcBorders>
              <w:top w:val="single" w:sz="8"/>
              <w:bottom w:val="nil" w:sz="0"/>
              <w:left w:val="nil"/>
              <w:right w:val="nil"/>
            </w:tcBorders>
          </w:tcPr>
          <w:p>
            <w:pPr>
              <w:spacing w:before="20" w:after="20"/>
              <w:jc w:val="center"/>
            </w:pPr>
            <w:r>
              <w:rPr>
                <w:rFonts w:ascii="Times New Roman" w:hAnsi="Times New Roman"/>
                <w:b/>
                <w:i w:val="0"/>
                <w:sz w:val="16"/>
              </w:rPr>
              <w:t>r</w:t>
            </w:r>
          </w:p>
        </w:tc>
      </w:tr>
      <w:tr>
        <w:tc>
          <w:tcPr>
            <w:tcW w:type="dxa" w:w="3437"/>
            <w:tcBorders>
              <w:top w:val="single" w:sz="8"/>
              <w:bottom w:val="nil" w:sz="0"/>
              <w:left w:val="nil"/>
              <w:right w:val="nil"/>
            </w:tcBorders>
          </w:tcPr>
          <w:p>
            <w:pPr>
              <w:spacing w:before="20" w:after="20"/>
              <w:jc w:val="left"/>
            </w:pPr>
            <w:r>
              <w:rPr>
                <w:rFonts w:ascii="Times New Roman" w:hAnsi="Times New Roman"/>
                <w:b w:val="0"/>
                <w:i w:val="0"/>
                <w:sz w:val="16"/>
              </w:rPr>
              <w:t>Main model, test (raw)</w:t>
            </w:r>
          </w:p>
        </w:tc>
        <w:tc>
          <w:tcPr>
            <w:tcW w:type="dxa" w:w="3437"/>
            <w:tcBorders>
              <w:top w:val="single" w:sz="8"/>
              <w:bottom w:val="nil" w:sz="0"/>
              <w:left w:val="nil"/>
              <w:right w:val="nil"/>
            </w:tcBorders>
          </w:tcPr>
          <w:p>
            <w:pPr>
              <w:spacing w:before="20" w:after="20"/>
              <w:jc w:val="center"/>
            </w:pPr>
            <w:r>
              <w:rPr>
                <w:rFonts w:ascii="Times New Roman" w:hAnsi="Times New Roman"/>
                <w:b/>
                <w:i w:val="0"/>
                <w:sz w:val="16"/>
              </w:rPr>
              <w:t>3.71</w:t>
            </w:r>
            <w:r>
              <w:rPr>
                <w:rFonts w:ascii="Times New Roman" w:hAnsi="Times New Roman"/>
                <w:b w:val="0"/>
                <w:i w:val="0"/>
                <w:sz w:val="16"/>
              </w:rPr>
              <w:t xml:space="preserve"> [3.10, 4.38]</w:t>
            </w:r>
          </w:p>
        </w:tc>
        <w:tc>
          <w:tcPr>
            <w:tcW w:type="dxa" w:w="3437"/>
            <w:tcBorders>
              <w:top w:val="single" w:sz="8"/>
              <w:bottom w:val="nil" w:sz="0"/>
              <w:left w:val="nil"/>
              <w:right w:val="nil"/>
            </w:tcBorders>
          </w:tcPr>
          <w:p>
            <w:pPr>
              <w:spacing w:before="20" w:after="20"/>
              <w:jc w:val="center"/>
            </w:pPr>
            <w:r>
              <w:rPr>
                <w:rFonts w:ascii="Times New Roman" w:hAnsi="Times New Roman"/>
                <w:b w:val="0"/>
                <w:i w:val="0"/>
                <w:sz w:val="16"/>
              </w:rPr>
              <w:t>0.966</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Main model, test (bias-corrected)</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3.89 [3.20, 4.61]</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0.966</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CV models, 412 out-of-sample</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[pending]</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CV ensemble, test</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[pending]</w:t>
            </w:r>
          </w:p>
        </w:tc>
      </w:tr>
      <w:tr>
        <w:tc>
          <w:tcPr>
            <w:tcW w:type="dxa" w:w="3437"/>
            <w:tcBorders>
              <w:top w:val="nil" w:sz="0"/>
              <w:bottom w:val="single" w:sz="8"/>
              <w:left w:val="nil"/>
              <w:right w:val="nil"/>
            </w:tcBorders>
          </w:tcPr>
          <w:p>
            <w:pPr>
              <w:spacing w:before="20" w:after="20"/>
              <w:jc w:val="left"/>
            </w:pPr>
            <w:r>
              <w:rPr>
                <w:rFonts w:ascii="Times New Roman" w:hAnsi="Times New Roman"/>
                <w:b w:val="0"/>
                <w:i w:val="0"/>
                <w:sz w:val="16"/>
              </w:rPr>
              <w:t>Zero-shot SFCN, validation</w:t>
            </w:r>
          </w:p>
        </w:tc>
        <w:tc>
          <w:tcPr>
            <w:tcW w:type="dxa" w:w="3437"/>
            <w:tcBorders>
              <w:top w:val="nil" w:sz="0"/>
              <w:bottom w:val="single" w:sz="8"/>
              <w:left w:val="nil"/>
              <w:right w:val="nil"/>
            </w:tcBorders>
          </w:tcPr>
          <w:p>
            <w:pPr>
              <w:spacing w:before="20" w:after="20"/>
              <w:jc w:val="center"/>
            </w:pPr>
            <w:r>
              <w:rPr>
                <w:rFonts w:ascii="Times New Roman" w:hAnsi="Times New Roman"/>
                <w:b w:val="0"/>
                <w:i w:val="0"/>
                <w:sz w:val="16"/>
              </w:rPr>
              <w:t>10.21</w:t>
            </w:r>
          </w:p>
        </w:tc>
        <w:tc>
          <w:tcPr>
            <w:tcW w:type="dxa" w:w="3437"/>
            <w:tcBorders>
              <w:top w:val="nil" w:sz="0"/>
              <w:bottom w:val="single" w:sz="8"/>
              <w:left w:val="nil"/>
              <w:right w:val="nil"/>
            </w:tcBorders>
          </w:tcPr>
          <w:p>
            <w:pPr>
              <w:spacing w:before="20" w:after="20"/>
              <w:jc w:val="center"/>
            </w:pPr>
            <w:r>
              <w:rPr>
                <w:rFonts w:ascii="Times New Roman" w:hAnsi="Times New Roman"/>
                <w:b w:val="0"/>
                <w:i w:val="0"/>
                <w:sz w:val="16"/>
              </w:rPr>
              <w:t>0.910</w:t>
            </w:r>
          </w:p>
        </w:tc>
      </w:tr>
    </w:tbl>
    <w:p>
      <w:pPr>
        <w:keepNext w:val="0"/>
        <w:spacing w:before="0" w:after="0" w:line="240" w:lineRule="auto"/>
        <w:ind w:firstLine="245"/>
        <w:jc w:val="both"/>
      </w:pPr>
    </w:p>
    <w:p>
      <w:pPr>
        <w:keepNext/>
        <w:spacing w:before="80" w:after="40" w:line="240" w:lineRule="auto"/>
        <w:jc w:val="left"/>
      </w:pPr>
      <w:r>
        <w:rPr>
          <w:rFonts w:ascii="Times New Roman" w:hAnsi="Times New Roman"/>
          <w:b w:val="0"/>
          <w:i/>
          <w:sz w:val="20"/>
        </w:rPr>
        <w:t>B. Group fairness</w:t>
      </w:r>
    </w:p>
    <w:p>
      <w:pPr>
        <w:keepNext w:val="0"/>
        <w:spacing w:before="0" w:after="40" w:line="240" w:lineRule="auto"/>
        <w:ind w:firstLine="245"/>
        <w:jc w:val="both"/>
      </w:pPr>
      <w:r>
        <w:rPr>
          <w:rFonts w:ascii="Times New Roman" w:hAnsi="Times New Roman"/>
          <w:b w:val="0"/>
          <w:i w:val="0"/>
          <w:sz w:val="20"/>
        </w:rPr>
        <w:t xml:space="preserve">Table </w:t>
      </w:r>
      <w:r>
        <w:rPr>
          <w:rFonts w:ascii="Times New Roman" w:hAnsi="Times New Roman"/>
          <w:b w:val="0"/>
          <w:i w:val="0"/>
          <w:sz w:val="20"/>
        </w:rPr>
        <w:t>III</w:t>
      </w:r>
      <w:r>
        <w:rPr>
          <w:rFonts w:ascii="Times New Roman" w:hAnsi="Times New Roman"/>
          <w:b w:val="0"/>
          <w:i w:val="0"/>
          <w:sz w:val="20"/>
        </w:rPr>
        <w:t xml:space="preserve"> lists every group effect with its verdict. On the test set alone, absolute error is </w:t>
      </w:r>
      <w:r>
        <w:rPr>
          <w:rFonts w:ascii="Times New Roman" w:hAnsi="Times New Roman"/>
          <w:b w:val="0"/>
          <w:i/>
          <w:sz w:val="20"/>
        </w:rPr>
        <w:t>equivalent</w:t>
      </w:r>
      <w:r>
        <w:rPr>
          <w:rFonts w:ascii="Times New Roman" w:hAnsi="Times New Roman"/>
          <w:b w:val="0"/>
          <w:i w:val="0"/>
          <w:sz w:val="20"/>
        </w:rPr>
        <w:t xml:space="preserve"> between sexes and between HH and Guys (PASS), whereas the sex difference in BAG (</w:t>
      </w:r>
      <w:r>
        <w:rPr>
          <w:rFonts w:ascii="Times New Roman" w:hAnsi="Times New Roman"/>
          <w:b w:val="0"/>
          <w:i w:val="0"/>
          <w:sz w:val="20"/>
        </w:rPr>
        <w:t>−0.59</w:t>
      </w:r>
      <w:r>
        <w:rPr>
          <w:rFonts w:ascii="Times New Roman" w:hAnsi="Times New Roman"/>
          <w:b w:val="0"/>
          <w:i w:val="0"/>
          <w:sz w:val="20"/>
        </w:rPr>
        <w:t>, minimum detectable effect 3.1 years) is INCONCLUSIVE: 73 test subjects cannot show equivalence. IOP scans receive a BAG 5.06 years lower than Guys [−8.66, −1.34], replicated in validation (</w:t>
      </w:r>
      <w:r>
        <w:rPr>
          <w:rFonts w:ascii="Times New Roman" w:hAnsi="Times New Roman"/>
          <w:b w:val="0"/>
          <w:i w:val="0"/>
          <w:sz w:val="20"/>
        </w:rPr>
        <w:t>−4.08</w:t>
      </w:r>
      <w:r>
        <w:rPr>
          <w:rFonts w:ascii="Times New Roman" w:hAnsi="Times New Roman"/>
          <w:b w:val="0"/>
          <w:i w:val="0"/>
          <w:sz w:val="20"/>
        </w:rPr>
        <w:t>), giving FAIL. With all 412 cross-validated predictions, [CV verdicts for sex and site]. A model never trained on IOP was 3.30 years [1.62, 4.93] less accurate there, whereas one never trained on HH generalised (+0.25).</w:t>
      </w:r>
    </w:p>
    <w:p>
      <w:pPr>
        <w:keepNext/>
        <w:spacing w:before="120" w:after="0" w:line="240" w:lineRule="auto"/>
        <w:jc w:val="center"/>
      </w:pPr>
      <w:r>
        <w:rPr>
          <w:rFonts w:ascii="Times New Roman" w:hAnsi="Times New Roman"/>
          <w:b w:val="0"/>
          <w:i w:val="0"/>
          <w:sz w:val="16"/>
        </w:rPr>
        <w:t>TABLE III</w:t>
      </w:r>
    </w:p>
    <w:p>
      <w:pPr>
        <w:keepNext/>
        <w:spacing w:before="0" w:after="60" w:line="240" w:lineRule="auto"/>
        <w:jc w:val="center"/>
      </w:pPr>
      <w:r>
        <w:rPr>
          <w:rFonts w:ascii="Times New Roman" w:hAnsi="Times New Roman"/>
          <w:b w:val="0"/>
          <w:i w:val="0"/>
          <w:sz w:val="16"/>
        </w:rPr>
        <w:t>Group effects (years) and pre-specified verdicts</w:t>
      </w:r>
    </w:p>
    <w:tbl>
      <w:tblPr>
        <w:tblW w:type="auto" w:w="0"/>
        <w:jc w:val="center"/>
        <w:tblLook w:firstColumn="1" w:firstRow="1" w:lastColumn="0" w:lastRow="0" w:noHBand="0" w:noVBand="1" w:val="04A0"/>
      </w:tblPr>
      <w:tblGrid>
        <w:gridCol w:w="2062"/>
        <w:gridCol w:w="2062"/>
        <w:gridCol w:w="2062"/>
        <w:gridCol w:w="2062"/>
        <w:gridCol w:w="2062"/>
      </w:tblGrid>
      <w:tr>
        <w:tc>
          <w:tcPr>
            <w:tcW w:type="dxa" w:w="2062"/>
            <w:tcBorders>
              <w:top w:val="single" w:sz="8"/>
              <w:bottom w:val="nil" w:sz="0"/>
              <w:left w:val="nil"/>
              <w:right w:val="nil"/>
            </w:tcBorders>
          </w:tcPr>
          <w:p>
            <w:pPr>
              <w:spacing w:before="20" w:after="20"/>
              <w:jc w:val="left"/>
            </w:pPr>
            <w:r>
              <w:rPr>
                <w:rFonts w:ascii="Times New Roman" w:hAnsi="Times New Roman"/>
                <w:b/>
                <w:i w:val="0"/>
                <w:sz w:val="16"/>
              </w:rPr>
              <w:t>Effect</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Data</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Estimate  [95% CI]</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MDE</w:t>
            </w:r>
          </w:p>
        </w:tc>
        <w:tc>
          <w:tcPr>
            <w:tcW w:type="dxa" w:w="2062"/>
            <w:tcBorders>
              <w:top w:val="single" w:sz="8"/>
              <w:bottom w:val="nil" w:sz="0"/>
              <w:left w:val="nil"/>
              <w:right w:val="nil"/>
            </w:tcBorders>
          </w:tcPr>
          <w:p>
            <w:pPr>
              <w:spacing w:before="20" w:after="20"/>
              <w:jc w:val="center"/>
            </w:pPr>
            <w:r>
              <w:rPr>
                <w:rFonts w:ascii="Times New Roman" w:hAnsi="Times New Roman"/>
                <w:b/>
                <w:i w:val="0"/>
                <w:sz w:val="16"/>
              </w:rPr>
              <w:t>Verdict</w:t>
            </w:r>
          </w:p>
        </w:tc>
      </w:tr>
      <w:tr>
        <w:tc>
          <w:tcPr>
            <w:tcW w:type="dxa" w:w="2062"/>
            <w:tcBorders>
              <w:top w:val="single" w:sz="8"/>
              <w:bottom w:val="nil" w:sz="0"/>
              <w:left w:val="nil"/>
              <w:right w:val="nil"/>
            </w:tcBorders>
          </w:tcPr>
          <w:p>
            <w:pPr>
              <w:spacing w:before="20" w:after="20"/>
              <w:jc w:val="left"/>
            </w:pPr>
            <w:r>
              <w:rPr>
                <w:rFonts w:ascii="Times New Roman" w:hAnsi="Times New Roman"/>
                <w:b w:val="0"/>
                <w:i w:val="0"/>
                <w:sz w:val="16"/>
              </w:rPr>
              <w:t>Sex, BAG</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test</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−0.59</w:t>
            </w:r>
            <w:r>
              <w:rPr>
                <w:rFonts w:ascii="Times New Roman" w:hAnsi="Times New Roman"/>
                <w:b w:val="0"/>
                <w:i w:val="0"/>
                <w:sz w:val="16"/>
              </w:rPr>
              <w:t xml:space="preserve"> [−2.79, 1.61]</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3.1</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INCONCL.</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Sex, error</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test</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−0.64</w:t>
            </w:r>
            <w:r>
              <w:rPr>
                <w:rFonts w:ascii="Times New Roman" w:hAnsi="Times New Roman"/>
                <w:b w:val="0"/>
                <w:i w:val="0"/>
                <w:sz w:val="16"/>
              </w:rPr>
              <w:t xml:space="preserve"> [−1.94, 0.66]</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1.9</w:t>
            </w:r>
          </w:p>
        </w:tc>
        <w:tc>
          <w:tcPr>
            <w:tcW w:type="dxa" w:w="2062"/>
            <w:tcBorders>
              <w:top w:val="nil" w:sz="0"/>
              <w:bottom w:val="nil" w:sz="0"/>
              <w:left w:val="nil"/>
              <w:right w:val="nil"/>
            </w:tcBorders>
          </w:tcPr>
          <w:p>
            <w:pPr>
              <w:spacing w:before="20" w:after="20"/>
              <w:jc w:val="center"/>
            </w:pPr>
            <w:r>
              <w:rPr>
                <w:rFonts w:ascii="Times New Roman" w:hAnsi="Times New Roman"/>
                <w:b w:val="0"/>
                <w:i w:val="0"/>
                <w:color w:val="0F7A3A"/>
                <w:sz w:val="16"/>
              </w:rPr>
              <w:t>PASS</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HH, BAG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test</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+1.06</w:t>
            </w:r>
            <w:r>
              <w:rPr>
                <w:rFonts w:ascii="Times New Roman" w:hAnsi="Times New Roman"/>
                <w:b w:val="0"/>
                <w:i w:val="0"/>
                <w:sz w:val="16"/>
              </w:rPr>
              <w:t xml:space="preserve"> [−1.48, 3.60]</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3.6</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INCONCL.</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HH, error</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test</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+0.19</w:t>
            </w:r>
            <w:r>
              <w:rPr>
                <w:rFonts w:ascii="Times New Roman" w:hAnsi="Times New Roman"/>
                <w:b w:val="0"/>
                <w:i w:val="0"/>
                <w:sz w:val="16"/>
              </w:rPr>
              <w:t xml:space="preserve"> [−1.09, 1.48]</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1.8</w:t>
            </w:r>
          </w:p>
        </w:tc>
        <w:tc>
          <w:tcPr>
            <w:tcW w:type="dxa" w:w="2062"/>
            <w:tcBorders>
              <w:top w:val="nil" w:sz="0"/>
              <w:bottom w:val="nil" w:sz="0"/>
              <w:left w:val="nil"/>
              <w:right w:val="nil"/>
            </w:tcBorders>
          </w:tcPr>
          <w:p>
            <w:pPr>
              <w:spacing w:before="20" w:after="20"/>
              <w:jc w:val="center"/>
            </w:pPr>
            <w:r>
              <w:rPr>
                <w:rFonts w:ascii="Times New Roman" w:hAnsi="Times New Roman"/>
                <w:b w:val="0"/>
                <w:i w:val="0"/>
                <w:color w:val="0F7A3A"/>
                <w:sz w:val="16"/>
              </w:rPr>
              <w:t>PASS</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IOP, BAG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test</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−5.06</w:t>
            </w:r>
            <w:r>
              <w:rPr>
                <w:rFonts w:ascii="Times New Roman" w:hAnsi="Times New Roman"/>
                <w:b w:val="0"/>
                <w:i w:val="0"/>
                <w:sz w:val="16"/>
              </w:rPr>
              <w:t xml:space="preserve"> [−8.99, −1.13]</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5.6</w:t>
            </w:r>
          </w:p>
        </w:tc>
        <w:tc>
          <w:tcPr>
            <w:tcW w:type="dxa" w:w="2062"/>
            <w:tcBorders>
              <w:top w:val="nil" w:sz="0"/>
              <w:bottom w:val="nil" w:sz="0"/>
              <w:left w:val="nil"/>
              <w:right w:val="nil"/>
            </w:tcBorders>
          </w:tcPr>
          <w:p>
            <w:pPr>
              <w:spacing w:before="20" w:after="20"/>
              <w:jc w:val="center"/>
            </w:pPr>
            <w:r>
              <w:rPr>
                <w:rFonts w:ascii="Times New Roman" w:hAnsi="Times New Roman"/>
                <w:b w:val="0"/>
                <w:i w:val="0"/>
                <w:color w:val="B42318"/>
                <w:sz w:val="16"/>
              </w:rPr>
              <w:t>FAIL</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IOP, error</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test</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+1.92</w:t>
            </w:r>
            <w:r>
              <w:rPr>
                <w:rFonts w:ascii="Times New Roman" w:hAnsi="Times New Roman"/>
                <w:b w:val="0"/>
                <w:i w:val="0"/>
                <w:sz w:val="16"/>
              </w:rPr>
              <w:t xml:space="preserve"> [−1.50, 5.33]</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4.9</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INCONCL.</w:t>
            </w:r>
          </w:p>
        </w:tc>
      </w:tr>
      <w:tr>
        <w:tc>
          <w:tcPr>
            <w:tcW w:type="dxa" w:w="2062"/>
            <w:tcBorders>
              <w:top w:val="single" w:sz="8"/>
              <w:bottom w:val="nil" w:sz="0"/>
              <w:left w:val="nil"/>
              <w:right w:val="nil"/>
            </w:tcBorders>
          </w:tcPr>
          <w:p>
            <w:pPr>
              <w:spacing w:before="20" w:after="20"/>
              <w:jc w:val="left"/>
            </w:pPr>
            <w:r>
              <w:rPr>
                <w:rFonts w:ascii="Times New Roman" w:hAnsi="Times New Roman"/>
                <w:b w:val="0"/>
                <w:i w:val="0"/>
                <w:sz w:val="16"/>
              </w:rPr>
              <w:t>Sex, BAG</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CV</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single" w:sz="8"/>
              <w:bottom w:val="nil" w:sz="0"/>
              <w:left w:val="nil"/>
              <w:right w:val="nil"/>
            </w:tcBorders>
          </w:tcPr>
          <w:p>
            <w:pPr>
              <w:spacing w:before="20" w:after="20"/>
              <w:jc w:val="center"/>
            </w:pPr>
            <w:r>
              <w:rPr>
                <w:rFonts w:ascii="Times New Roman" w:hAnsi="Times New Roman"/>
                <w:b w:val="0"/>
                <w:i w:val="0"/>
                <w:sz w:val="16"/>
              </w:rPr>
              <w:t>[pending]</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Sex, error</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CV</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HH, BAG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CV</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r>
      <w:tr>
        <w:tc>
          <w:tcPr>
            <w:tcW w:type="dxa" w:w="2062"/>
            <w:tcBorders>
              <w:top w:val="nil" w:sz="0"/>
              <w:bottom w:val="nil" w:sz="0"/>
              <w:left w:val="nil"/>
              <w:right w:val="nil"/>
            </w:tcBorders>
          </w:tcPr>
          <w:p>
            <w:pPr>
              <w:spacing w:before="20" w:after="20"/>
              <w:jc w:val="left"/>
            </w:pPr>
            <w:r>
              <w:rPr>
                <w:rFonts w:ascii="Times New Roman" w:hAnsi="Times New Roman"/>
                <w:b w:val="0"/>
                <w:i w:val="0"/>
                <w:sz w:val="16"/>
              </w:rPr>
              <w:t>IOP, BAG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CV</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nil" w:sz="0"/>
              <w:left w:val="nil"/>
              <w:right w:val="nil"/>
            </w:tcBorders>
          </w:tcPr>
          <w:p>
            <w:pPr>
              <w:spacing w:before="20" w:after="20"/>
              <w:jc w:val="center"/>
            </w:pPr>
            <w:r>
              <w:rPr>
                <w:rFonts w:ascii="Times New Roman" w:hAnsi="Times New Roman"/>
                <w:b w:val="0"/>
                <w:i w:val="0"/>
                <w:sz w:val="16"/>
              </w:rPr>
              <w:t>[pending]</w:t>
            </w:r>
          </w:p>
        </w:tc>
      </w:tr>
      <w:tr>
        <w:tc>
          <w:tcPr>
            <w:tcW w:type="dxa" w:w="2062"/>
            <w:tcBorders>
              <w:top w:val="nil" w:sz="0"/>
              <w:bottom w:val="single" w:sz="8"/>
              <w:left w:val="nil"/>
              <w:right w:val="nil"/>
            </w:tcBorders>
          </w:tcPr>
          <w:p>
            <w:pPr>
              <w:spacing w:before="20" w:after="20"/>
              <w:jc w:val="left"/>
            </w:pPr>
            <w:r>
              <w:rPr>
                <w:rFonts w:ascii="Times New Roman" w:hAnsi="Times New Roman"/>
                <w:b w:val="0"/>
                <w:i w:val="0"/>
                <w:sz w:val="16"/>
              </w:rPr>
              <w:t>IOP, error</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CV</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[pending]</w:t>
            </w:r>
          </w:p>
        </w:tc>
        <w:tc>
          <w:tcPr>
            <w:tcW w:type="dxa" w:w="2062"/>
            <w:tcBorders>
              <w:top w:val="nil" w:sz="0"/>
              <w:bottom w:val="single" w:sz="8"/>
              <w:left w:val="nil"/>
              <w:right w:val="nil"/>
            </w:tcBorders>
          </w:tcPr>
          <w:p>
            <w:pPr>
              <w:spacing w:before="20" w:after="20"/>
              <w:jc w:val="center"/>
            </w:pPr>
            <w:r>
              <w:rPr>
                <w:rFonts w:ascii="Times New Roman" w:hAnsi="Times New Roman"/>
                <w:b w:val="0"/>
                <w:i w:val="0"/>
                <w:sz w:val="16"/>
              </w:rPr>
              <w:t>[pending]</w:t>
            </w:r>
          </w:p>
        </w:tc>
      </w:tr>
    </w:tbl>
    <w:p>
      <w:pPr>
        <w:keepNext w:val="0"/>
        <w:spacing w:before="0" w:after="0" w:line="240" w:lineRule="auto"/>
        <w:jc w:val="left"/>
      </w:pPr>
      <w:r>
        <w:rPr>
          <w:rFonts w:ascii="Times New Roman" w:hAnsi="Times New Roman"/>
          <w:b w:val="0"/>
          <w:i w:val="0"/>
          <w:sz w:val="15"/>
        </w:rPr>
        <w:t>HC3 normal CIs; MDE: minimum detectable effect, 80% power.</w:t>
      </w:r>
    </w:p>
    <w:p>
      <w:pPr>
        <w:keepNext w:val="0"/>
        <w:spacing w:before="0" w:after="0" w:line="240" w:lineRule="auto"/>
        <w:ind w:firstLine="245"/>
        <w:jc w:val="both"/>
      </w:pPr>
    </w:p>
    <w:p>
      <w:pPr>
        <w:keepNext/>
        <w:spacing w:before="80" w:after="40" w:line="240" w:lineRule="auto"/>
        <w:jc w:val="left"/>
      </w:pPr>
      <w:r>
        <w:rPr>
          <w:rFonts w:ascii="Times New Roman" w:hAnsi="Times New Roman"/>
          <w:b w:val="0"/>
          <w:i/>
          <w:sz w:val="20"/>
        </w:rPr>
        <w:t>C. The IOP offset is not an artefact of age handling</w:t>
      </w:r>
    </w:p>
    <w:p>
      <w:pPr>
        <w:keepNext w:val="0"/>
        <w:spacing w:before="0" w:after="40" w:line="240" w:lineRule="auto"/>
        <w:ind w:firstLine="245"/>
        <w:jc w:val="both"/>
      </w:pPr>
      <w:r>
        <w:rPr>
          <w:rFonts w:ascii="Times New Roman" w:hAnsi="Times New Roman"/>
          <w:b w:val="0"/>
          <w:i w:val="0"/>
          <w:sz w:val="20"/>
        </w:rPr>
        <w:t xml:space="preserve"> Across all eight age-handling choices, the held-out IOP offset ranged from </w:t>
      </w:r>
      <w:r>
        <w:rPr>
          <w:rFonts w:ascii="Times New Roman" w:hAnsi="Times New Roman"/>
          <w:b w:val="0"/>
          <w:i w:val="0"/>
          <w:sz w:val="20"/>
        </w:rPr>
        <w:t>−3.11</w:t>
      </w:r>
      <w:r>
        <w:rPr>
          <w:rFonts w:ascii="Times New Roman" w:hAnsi="Times New Roman"/>
          <w:b w:val="0"/>
          <w:i w:val="0"/>
          <w:sz w:val="20"/>
        </w:rPr>
        <w:t xml:space="preserve"> to </w:t>
      </w:r>
      <w:r>
        <w:rPr>
          <w:rFonts w:ascii="Times New Roman" w:hAnsi="Times New Roman"/>
          <w:b w:val="0"/>
          <w:i w:val="0"/>
          <w:sz w:val="20"/>
        </w:rPr>
        <w:t>−4.53</w:t>
      </w:r>
      <w:r>
        <w:rPr>
          <w:rFonts w:ascii="Times New Roman" w:hAnsi="Times New Roman"/>
          <w:b w:val="0"/>
          <w:i w:val="0"/>
          <w:sz w:val="20"/>
        </w:rPr>
        <w:t xml:space="preserve"> years, with every CI excluding zero (Fig. </w:t>
      </w:r>
      <w:r>
        <w:rPr>
          <w:rFonts w:ascii="Times New Roman" w:hAnsi="Times New Roman"/>
          <w:b w:val="0"/>
          <w:i w:val="0"/>
          <w:sz w:val="20"/>
        </w:rPr>
        <w:t>3</w:t>
      </w:r>
      <w:r>
        <w:rPr>
          <w:rFonts w:ascii="Times New Roman" w:hAnsi="Times New Roman"/>
          <w:b w:val="0"/>
          <w:i w:val="0"/>
          <w:sz w:val="20"/>
        </w:rPr>
        <w:t xml:space="preserve">); on the test set alone it ranged from </w:t>
      </w:r>
      <w:r>
        <w:rPr>
          <w:rFonts w:ascii="Times New Roman" w:hAnsi="Times New Roman"/>
          <w:b w:val="0"/>
          <w:i w:val="0"/>
          <w:sz w:val="20"/>
        </w:rPr>
        <w:t>−4.21</w:t>
      </w:r>
      <w:r>
        <w:rPr>
          <w:rFonts w:ascii="Times New Roman" w:hAnsi="Times New Roman"/>
          <w:b w:val="0"/>
          <w:i w:val="0"/>
          <w:sz w:val="20"/>
        </w:rPr>
        <w:t xml:space="preserve"> to </w:t>
      </w:r>
      <w:r>
        <w:rPr>
          <w:rFonts w:ascii="Times New Roman" w:hAnsi="Times New Roman"/>
          <w:b w:val="0"/>
          <w:i w:val="0"/>
          <w:sz w:val="20"/>
        </w:rPr>
        <w:t>−5.24</w:t>
      </w:r>
      <w:r>
        <w:rPr>
          <w:rFonts w:ascii="Times New Roman" w:hAnsi="Times New Roman"/>
          <w:b w:val="0"/>
          <w:i w:val="0"/>
          <w:sz w:val="20"/>
        </w:rPr>
        <w:t>. It persisted in age-matched pairs (</w:t>
      </w:r>
      <w:r>
        <w:rPr>
          <w:rFonts w:ascii="Times New Roman" w:hAnsi="Times New Roman"/>
          <w:b w:val="0"/>
          <w:i w:val="0"/>
          <w:sz w:val="20"/>
        </w:rPr>
        <w:t>−3.11</w:t>
      </w:r>
      <w:r>
        <w:rPr>
          <w:rFonts w:ascii="Times New Roman" w:hAnsi="Times New Roman"/>
          <w:b w:val="0"/>
          <w:i w:val="0"/>
          <w:sz w:val="20"/>
        </w:rPr>
        <w:t xml:space="preserve"> [−5.67, −0.33]), with a spline for age (</w:t>
      </w:r>
      <w:r>
        <w:rPr>
          <w:rFonts w:ascii="Times New Roman" w:hAnsi="Times New Roman"/>
          <w:b w:val="0"/>
          <w:i w:val="0"/>
          <w:sz w:val="20"/>
        </w:rPr>
        <w:t>−3.98</w:t>
      </w:r>
      <w:r>
        <w:rPr>
          <w:rFonts w:ascii="Times New Roman" w:hAnsi="Times New Roman"/>
          <w:b w:val="0"/>
          <w:i w:val="0"/>
          <w:sz w:val="20"/>
        </w:rPr>
        <w:t>) and with no correction at all (</w:t>
      </w:r>
      <w:r>
        <w:rPr>
          <w:rFonts w:ascii="Times New Roman" w:hAnsi="Times New Roman"/>
          <w:b w:val="0"/>
          <w:i w:val="0"/>
          <w:sz w:val="20"/>
        </w:rPr>
        <w:t>−3.77</w:t>
      </w:r>
      <w:r>
        <w:rPr>
          <w:rFonts w:ascii="Times New Roman" w:hAnsi="Times New Roman"/>
          <w:b w:val="0"/>
          <w:i w:val="0"/>
          <w:sz w:val="20"/>
        </w:rPr>
        <w:t>). Native brain volume did not differ between IOP and Guys after age and sex adjustment (</w:t>
      </w:r>
      <w:r>
        <w:rPr>
          <w:rFonts w:ascii="Times New Roman" w:hAnsi="Times New Roman"/>
          <w:b w:val="0"/>
          <w:i w:val="0"/>
          <w:sz w:val="20"/>
        </w:rPr>
        <w:t>−16</w:t>
      </w:r>
      <w:r>
        <w:rPr>
          <w:rFonts w:ascii="Times New Roman" w:hAnsi="Times New Roman"/>
          <w:b w:val="0"/>
          <w:i w:val="0"/>
          <w:sz w:val="20"/>
        </w:rPr>
        <w:t xml:space="preserve"> ml, </w:t>
      </w:r>
      <w:r>
        <w:rPr>
          <w:rFonts w:ascii="Times New Roman" w:hAnsi="Times New Roman"/>
          <w:b w:val="0"/>
          <w:i w:val="0"/>
          <w:sz w:val="20"/>
        </w:rPr>
        <w:t>p=0.38</w:t>
      </w:r>
      <w:r>
        <w:rPr>
          <w:rFonts w:ascii="Times New Roman" w:hAnsi="Times New Roman"/>
          <w:b w:val="0"/>
          <w:i w:val="0"/>
          <w:sz w:val="20"/>
        </w:rPr>
        <w:t>) and did not change the offset (</w:t>
      </w:r>
      <w:r>
        <w:rPr>
          <w:rFonts w:ascii="Times New Roman" w:hAnsi="Times New Roman"/>
          <w:b w:val="0"/>
          <w:i w:val="0"/>
          <w:sz w:val="20"/>
        </w:rPr>
        <w:t>−4.47</w:t>
      </w:r>
      <w:r>
        <w:rPr>
          <w:rFonts w:ascii="Times New Roman" w:hAnsi="Times New Roman"/>
          <w:b w:val="0"/>
          <w:i w:val="0"/>
          <w:sz w:val="20"/>
        </w:rPr>
        <w:t xml:space="preserve">). The offset is not at the edge of the label range: held-out IOP subjects under 30 had a mean gap of </w:t>
      </w:r>
      <w:r>
        <w:rPr>
          <w:rFonts w:ascii="Times New Roman" w:hAnsi="Times New Roman"/>
          <w:b w:val="0"/>
          <w:i w:val="0"/>
          <w:sz w:val="20"/>
        </w:rPr>
        <w:t>+0.5</w:t>
      </w:r>
      <w:r>
        <w:rPr>
          <w:rFonts w:ascii="Times New Roman" w:hAnsi="Times New Roman"/>
          <w:b w:val="0"/>
          <w:i w:val="0"/>
          <w:sz w:val="20"/>
        </w:rPr>
        <w:t xml:space="preserve"> years, those over 30 of </w:t>
      </w:r>
      <w:r>
        <w:rPr>
          <w:rFonts w:ascii="Times New Roman" w:hAnsi="Times New Roman"/>
          <w:b w:val="0"/>
          <w:i w:val="0"/>
          <w:sz w:val="20"/>
        </w:rPr>
        <w:t>−5.6</w:t>
      </w:r>
      <w:r>
        <w:rPr>
          <w:rFonts w:ascii="Times New Roman" w:hAnsi="Times New Roman"/>
          <w:b w:val="0"/>
          <w:i w:val="0"/>
          <w:sz w:val="20"/>
        </w:rPr>
        <w:t xml:space="preserve"> years. In the cross-validated predictions the offset was [CV range across the eight choices].</w:t>
      </w:r>
    </w:p>
    <w:p>
      <w:pPr>
        <w:keepNext/>
        <w:jc w:val="center"/>
      </w:pPr>
      <w:r>
        <w:drawing>
          <wp:inline xmlns:a="http://schemas.openxmlformats.org/drawingml/2006/main" xmlns:pic="http://schemas.openxmlformats.org/drawingml/2006/picture">
            <wp:extent cx="3200400" cy="1221971"/>
            <wp:docPr id="3" name="Picture 3"/>
            <wp:cNvGraphicFramePr>
              <a:graphicFrameLocks noChangeAspect="1"/>
            </wp:cNvGraphicFramePr>
            <a:graphic>
              <a:graphicData uri="http://schemas.openxmlformats.org/drawingml/2006/picture">
                <pic:pic>
                  <pic:nvPicPr>
                    <pic:cNvPr id="0" name="age_robustness.png"/>
                    <pic:cNvPicPr/>
                  </pic:nvPicPr>
                  <pic:blipFill>
                    <a:blip r:embed="rId11"/>
                    <a:stretch>
                      <a:fillRect/>
                    </a:stretch>
                  </pic:blipFill>
                  <pic:spPr>
                    <a:xfrm>
                      <a:off x="0" y="0"/>
                      <a:ext cx="3200400" cy="1221971"/>
                    </a:xfrm>
                    <a:prstGeom prst="rect"/>
                  </pic:spPr>
                </pic:pic>
              </a:graphicData>
            </a:graphic>
          </wp:inline>
        </w:drawing>
      </w:r>
    </w:p>
    <w:p>
      <w:pPr>
        <w:keepNext w:val="0"/>
        <w:spacing w:before="0" w:after="160" w:line="240" w:lineRule="auto"/>
        <w:jc w:val="both"/>
      </w:pPr>
      <w:r>
        <w:rPr>
          <w:rFonts w:ascii="Times New Roman" w:hAnsi="Times New Roman"/>
          <w:b w:val="0"/>
          <w:i w:val="0"/>
          <w:sz w:val="16"/>
        </w:rPr>
        <w:t xml:space="preserve">Fig. 3.  </w:t>
      </w:r>
      <w:r>
        <w:rPr>
          <w:rFonts w:ascii="Times New Roman" w:hAnsi="Times New Roman"/>
          <w:b w:val="0"/>
          <w:i w:val="0"/>
          <w:sz w:val="16"/>
        </w:rPr>
        <w:t>Left: held-out corrected brain-age gap by age and site (lines: running means). Right: the IOP-vs-Guys offset under eight age-handling choices (95% CI).</w:t>
      </w:r>
    </w:p>
    <w:p>
      <w:pPr>
        <w:keepNext/>
        <w:spacing w:before="80" w:after="40" w:line="240" w:lineRule="auto"/>
        <w:jc w:val="left"/>
      </w:pPr>
      <w:r>
        <w:rPr>
          <w:rFonts w:ascii="Times New Roman" w:hAnsi="Times New Roman"/>
          <w:b w:val="0"/>
          <w:i/>
          <w:sz w:val="20"/>
        </w:rPr>
        <w:t>D. The offset exists before fine-tuning</w:t>
      </w:r>
    </w:p>
    <w:p>
      <w:pPr>
        <w:keepNext w:val="0"/>
        <w:spacing w:before="0" w:after="40" w:line="240" w:lineRule="auto"/>
        <w:ind w:firstLine="245"/>
        <w:jc w:val="both"/>
      </w:pPr>
      <w:r>
        <w:rPr>
          <w:rFonts w:ascii="Times New Roman" w:hAnsi="Times New Roman"/>
          <w:b w:val="0"/>
          <w:i w:val="0"/>
          <w:sz w:val="20"/>
        </w:rPr>
        <w:t xml:space="preserve">The UK Biobank model, which never saw an IXI scan, already predicts IOP brains </w:t>
      </w:r>
      <w:r>
        <w:rPr>
          <w:rFonts w:ascii="Times New Roman" w:hAnsi="Times New Roman"/>
          <w:b/>
          <w:i w:val="0"/>
          <w:sz w:val="20"/>
        </w:rPr>
        <w:t>3.34 years younger</w:t>
      </w:r>
      <w:r>
        <w:rPr>
          <w:rFonts w:ascii="Times New Roman" w:hAnsi="Times New Roman"/>
          <w:b w:val="0"/>
          <w:i w:val="0"/>
          <w:sz w:val="20"/>
        </w:rPr>
        <w:t xml:space="preserve"> than Guys brains of the same age and sex [−4.71, −1.91] (</w:t>
      </w:r>
      <w:r>
        <w:rPr>
          <w:rFonts w:ascii="Times New Roman" w:hAnsi="Times New Roman"/>
          <w:b w:val="0"/>
          <w:i w:val="0"/>
          <w:sz w:val="20"/>
        </w:rPr>
        <w:t>p=5×10⁻⁶</w:t>
      </w:r>
      <w:r>
        <w:rPr>
          <w:rFonts w:ascii="Times New Roman" w:hAnsi="Times New Roman"/>
          <w:b w:val="0"/>
          <w:i w:val="0"/>
          <w:sz w:val="20"/>
        </w:rPr>
        <w:t>, 241 subjects aged 42–82, 19 IOP). Memorisation of IOP training subjects therefore cannot be its cause. During cross-validated training, [training-dynamics result: train-IOP gap vs out-of-sample IOP gap across epochs].</w:t>
      </w:r>
    </w:p>
    <w:p>
      <w:pPr>
        <w:keepNext/>
        <w:spacing w:before="80" w:after="40" w:line="240" w:lineRule="auto"/>
        <w:jc w:val="left"/>
      </w:pPr>
      <w:r>
        <w:rPr>
          <w:rFonts w:ascii="Times New Roman" w:hAnsi="Times New Roman"/>
          <w:b w:val="0"/>
          <w:i/>
          <w:sz w:val="20"/>
        </w:rPr>
        <w:t>E. The model is sensitive to acquisition appearance</w:t>
      </w:r>
    </w:p>
    <w:p>
      <w:pPr>
        <w:keepNext w:val="0"/>
        <w:spacing w:before="0" w:after="40" w:line="240" w:lineRule="auto"/>
        <w:ind w:firstLine="245"/>
        <w:jc w:val="both"/>
      </w:pPr>
      <w:r>
        <w:rPr>
          <w:rFonts w:ascii="Times New Roman" w:hAnsi="Times New Roman"/>
          <w:b/>
          <w:i w:val="0"/>
          <w:sz w:val="20"/>
        </w:rPr>
        <w:t>Site is encoded.</w:t>
      </w:r>
      <w:r>
        <w:rPr>
          <w:rFonts w:ascii="Times New Roman" w:hAnsi="Times New Roman"/>
          <w:b w:val="0"/>
          <w:i w:val="0"/>
          <w:sz w:val="20"/>
        </w:rPr>
        <w:t xml:space="preserve"> The probe identified the site of held-out scans with </w:t>
      </w:r>
      <w:r>
        <w:rPr>
          <w:rFonts w:ascii="Times New Roman" w:hAnsi="Times New Roman"/>
          <w:b/>
          <w:i w:val="0"/>
          <w:sz w:val="20"/>
        </w:rPr>
        <w:t>91.2%</w:t>
      </w:r>
      <w:r>
        <w:rPr>
          <w:rFonts w:ascii="Times New Roman" w:hAnsi="Times New Roman"/>
          <w:b w:val="0"/>
          <w:i w:val="0"/>
          <w:sz w:val="20"/>
        </w:rPr>
        <w:t xml:space="preserve"> [86.6, 95.2] balanced accuracy after removing age and sex, against a permutation null with mean 34% and 95th percentile 50% (Table </w:t>
      </w:r>
      <w:r>
        <w:rPr>
          <w:rFonts w:ascii="Times New Roman" w:hAnsi="Times New Roman"/>
          <w:b w:val="0"/>
          <w:i w:val="0"/>
          <w:sz w:val="20"/>
        </w:rPr>
        <w:t>IV</w:t>
      </w:r>
      <w:r>
        <w:rPr>
          <w:rFonts w:ascii="Times New Roman" w:hAnsi="Times New Roman"/>
          <w:b w:val="0"/>
          <w:i w:val="0"/>
          <w:sz w:val="20"/>
        </w:rPr>
        <w:t>). This is expected: site is decodable with 99.6% from input intensity quantiles alone and with 92.8% from the pretrained network, so the features inherit an input-level signature; the question is whether the prediction uses it.</w:t>
      </w:r>
    </w:p>
    <w:p>
      <w:pPr>
        <w:keepNext/>
        <w:spacing w:before="120" w:after="0" w:line="240" w:lineRule="auto"/>
        <w:jc w:val="center"/>
      </w:pPr>
      <w:r>
        <w:rPr>
          <w:rFonts w:ascii="Times New Roman" w:hAnsi="Times New Roman"/>
          <w:b w:val="0"/>
          <w:i w:val="0"/>
          <w:sz w:val="16"/>
        </w:rPr>
        <w:t>TABLE IV</w:t>
      </w:r>
    </w:p>
    <w:p>
      <w:pPr>
        <w:keepNext/>
        <w:spacing w:before="0" w:after="60" w:line="240" w:lineRule="auto"/>
        <w:jc w:val="center"/>
      </w:pPr>
      <w:r>
        <w:rPr>
          <w:rFonts w:ascii="Times New Roman" w:hAnsi="Times New Roman"/>
          <w:b w:val="0"/>
          <w:i w:val="0"/>
          <w:sz w:val="16"/>
        </w:rPr>
        <w:t>Site probe on held-out subjects (balanced accuracy, %)</w:t>
      </w:r>
    </w:p>
    <w:tbl>
      <w:tblPr>
        <w:tblW w:type="auto" w:w="0"/>
        <w:jc w:val="center"/>
        <w:tblLook w:firstColumn="1" w:firstRow="1" w:lastColumn="0" w:lastRow="0" w:noHBand="0" w:noVBand="1" w:val="04A0"/>
      </w:tblPr>
      <w:tblGrid>
        <w:gridCol w:w="5155"/>
        <w:gridCol w:w="5155"/>
      </w:tblGrid>
      <w:tr>
        <w:tc>
          <w:tcPr>
            <w:tcW w:type="dxa" w:w="5155"/>
            <w:tcBorders>
              <w:top w:val="single" w:sz="8"/>
              <w:bottom w:val="nil" w:sz="0"/>
              <w:left w:val="nil"/>
              <w:right w:val="nil"/>
            </w:tcBorders>
          </w:tcPr>
          <w:p>
            <w:pPr>
              <w:spacing w:before="20" w:after="20"/>
              <w:jc w:val="left"/>
            </w:pPr>
            <w:r>
              <w:rPr>
                <w:rFonts w:ascii="Times New Roman" w:hAnsi="Times New Roman"/>
                <w:b/>
                <w:i w:val="0"/>
                <w:sz w:val="16"/>
              </w:rPr>
              <w:t>Features</w:t>
            </w:r>
          </w:p>
        </w:tc>
        <w:tc>
          <w:tcPr>
            <w:tcW w:type="dxa" w:w="5155"/>
            <w:tcBorders>
              <w:top w:val="single" w:sz="8"/>
              <w:bottom w:val="nil" w:sz="0"/>
              <w:left w:val="nil"/>
              <w:right w:val="nil"/>
            </w:tcBorders>
          </w:tcPr>
          <w:p>
            <w:pPr>
              <w:spacing w:before="20" w:after="20"/>
              <w:jc w:val="center"/>
            </w:pPr>
            <w:r>
              <w:rPr>
                <w:rFonts w:ascii="Times New Roman" w:hAnsi="Times New Roman"/>
                <w:b/>
                <w:i w:val="0"/>
                <w:sz w:val="16"/>
              </w:rPr>
              <w:t>Accuracy</w:t>
            </w:r>
          </w:p>
        </w:tc>
      </w:tr>
      <w:tr>
        <w:tc>
          <w:tcPr>
            <w:tcW w:type="dxa" w:w="5155"/>
            <w:tcBorders>
              <w:top w:val="single" w:sz="8"/>
              <w:bottom w:val="nil" w:sz="0"/>
              <w:left w:val="nil"/>
              <w:right w:val="nil"/>
            </w:tcBorders>
          </w:tcPr>
          <w:p>
            <w:pPr>
              <w:spacing w:before="20" w:after="20"/>
              <w:jc w:val="left"/>
            </w:pPr>
            <w:r>
              <w:rPr>
                <w:rFonts w:ascii="Times New Roman" w:hAnsi="Times New Roman"/>
                <w:b w:val="0"/>
                <w:i w:val="0"/>
                <w:sz w:val="16"/>
              </w:rPr>
              <w:t>Age and sex only</w:t>
            </w:r>
          </w:p>
        </w:tc>
        <w:tc>
          <w:tcPr>
            <w:tcW w:type="dxa" w:w="5155"/>
            <w:tcBorders>
              <w:top w:val="single" w:sz="8"/>
              <w:bottom w:val="nil" w:sz="0"/>
              <w:left w:val="nil"/>
              <w:right w:val="nil"/>
            </w:tcBorders>
          </w:tcPr>
          <w:p>
            <w:pPr>
              <w:spacing w:before="20" w:after="20"/>
              <w:jc w:val="center"/>
            </w:pPr>
            <w:r>
              <w:rPr>
                <w:rFonts w:ascii="Times New Roman" w:hAnsi="Times New Roman"/>
                <w:b w:val="0"/>
                <w:i w:val="0"/>
                <w:sz w:val="16"/>
              </w:rPr>
              <w:t>40.8</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Permutation null (mean / 95th pct.)</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34 / 50</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Input intensity quantiles</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99.6</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Pretrained SFCN (never saw IXI)</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92.8</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Fine-tuned SFCN, age/sex removed</w:t>
            </w:r>
          </w:p>
        </w:tc>
        <w:tc>
          <w:tcPr>
            <w:tcW w:type="dxa" w:w="5155"/>
            <w:tcBorders>
              <w:top w:val="nil" w:sz="0"/>
              <w:bottom w:val="nil" w:sz="0"/>
              <w:left w:val="nil"/>
              <w:right w:val="nil"/>
            </w:tcBorders>
          </w:tcPr>
          <w:p>
            <w:pPr>
              <w:spacing w:before="20" w:after="20"/>
              <w:jc w:val="center"/>
            </w:pPr>
            <w:r>
              <w:rPr>
                <w:rFonts w:ascii="Times New Roman" w:hAnsi="Times New Roman"/>
                <w:b/>
                <w:i w:val="0"/>
                <w:sz w:val="16"/>
              </w:rPr>
              <w:t>91.2</w:t>
            </w:r>
          </w:p>
        </w:tc>
      </w:tr>
      <w:tr>
        <w:tc>
          <w:tcPr>
            <w:tcW w:type="dxa" w:w="5155"/>
            <w:tcBorders>
              <w:top w:val="nil" w:sz="0"/>
              <w:bottom w:val="single" w:sz="8"/>
              <w:left w:val="nil"/>
              <w:right w:val="nil"/>
            </w:tcBorders>
          </w:tcPr>
          <w:p>
            <w:pPr>
              <w:spacing w:before="20" w:after="20"/>
              <w:jc w:val="left"/>
            </w:pPr>
            <w:r>
              <w:rPr>
                <w:rFonts w:ascii="Times New Roman" w:hAnsi="Times New Roman"/>
                <w:b w:val="0"/>
                <w:i w:val="0"/>
                <w:sz w:val="16"/>
              </w:rPr>
              <w:t>Cross-validated models (within fold)</w:t>
            </w:r>
          </w:p>
        </w:tc>
        <w:tc>
          <w:tcPr>
            <w:tcW w:type="dxa" w:w="5155"/>
            <w:tcBorders>
              <w:top w:val="nil" w:sz="0"/>
              <w:bottom w:val="single" w:sz="8"/>
              <w:left w:val="nil"/>
              <w:right w:val="nil"/>
            </w:tcBorders>
          </w:tcPr>
          <w:p>
            <w:pPr>
              <w:spacing w:before="20" w:after="20"/>
              <w:jc w:val="center"/>
            </w:pPr>
            <w:r>
              <w:rPr>
                <w:rFonts w:ascii="Times New Roman" w:hAnsi="Times New Roman"/>
                <w:b w:val="0"/>
                <w:i w:val="0"/>
                <w:sz w:val="16"/>
              </w:rPr>
              <w:t>[pending]</w:t>
            </w:r>
          </w:p>
        </w:tc>
      </w:tr>
    </w:tbl>
    <w:p>
      <w:pPr>
        <w:keepNext w:val="0"/>
        <w:spacing w:before="0" w:after="0" w:line="240" w:lineRule="auto"/>
        <w:ind w:firstLine="245"/>
        <w:jc w:val="both"/>
      </w:pPr>
    </w:p>
    <w:p>
      <w:pPr>
        <w:keepNext w:val="0"/>
        <w:spacing w:before="0" w:after="40" w:line="240" w:lineRule="auto"/>
        <w:ind w:firstLine="245"/>
        <w:jc w:val="both"/>
      </w:pPr>
      <w:r>
        <w:rPr>
          <w:rFonts w:ascii="Times New Roman" w:hAnsi="Times New Roman"/>
          <w:b/>
          <w:i w:val="0"/>
          <w:sz w:val="20"/>
        </w:rPr>
        <w:t>Appearance moves the prediction.</w:t>
      </w:r>
      <w:r>
        <w:rPr>
          <w:rFonts w:ascii="Times New Roman" w:hAnsi="Times New Roman"/>
          <w:b w:val="0"/>
          <w:i w:val="0"/>
          <w:sz w:val="20"/>
        </w:rPr>
        <w:t xml:space="preserve"> Relative to matching to their own site, HH brains given IOP's age- and sex-standardised appearance became </w:t>
      </w:r>
      <w:r>
        <w:rPr>
          <w:rFonts w:ascii="Times New Roman" w:hAnsi="Times New Roman"/>
          <w:b/>
          <w:i w:val="0"/>
          <w:sz w:val="20"/>
        </w:rPr>
        <w:t>3.92 years younger</w:t>
      </w:r>
      <w:r>
        <w:rPr>
          <w:rFonts w:ascii="Times New Roman" w:hAnsi="Times New Roman"/>
          <w:b w:val="0"/>
          <w:i w:val="0"/>
          <w:sz w:val="20"/>
        </w:rPr>
        <w:t xml:space="preserve"> [−4.47, −3.38], all 45 of them, and IOP brains given HH's appearance </w:t>
      </w:r>
      <w:r>
        <w:rPr>
          <w:rFonts w:ascii="Times New Roman" w:hAnsi="Times New Roman"/>
          <w:b/>
          <w:i w:val="0"/>
          <w:sz w:val="20"/>
        </w:rPr>
        <w:t>3.14 years older</w:t>
      </w:r>
      <w:r>
        <w:rPr>
          <w:rFonts w:ascii="Times New Roman" w:hAnsi="Times New Roman"/>
          <w:b w:val="0"/>
          <w:i w:val="0"/>
          <w:sz w:val="20"/>
        </w:rPr>
        <w:t xml:space="preserve"> (18 of 18; Fig. </w:t>
      </w:r>
      <w:r>
        <w:rPr>
          <w:rFonts w:ascii="Times New Roman" w:hAnsi="Times New Roman"/>
          <w:b w:val="0"/>
          <w:i w:val="0"/>
          <w:sz w:val="20"/>
        </w:rPr>
        <w:t>4</w:t>
      </w:r>
      <w:r>
        <w:rPr>
          <w:rFonts w:ascii="Times New Roman" w:hAnsi="Times New Roman"/>
          <w:b w:val="0"/>
          <w:i w:val="0"/>
          <w:sz w:val="20"/>
        </w:rPr>
        <w:t>). Between Guys and IOP the effect was small (</w:t>
      </w:r>
      <w:r>
        <w:rPr>
          <w:rFonts w:ascii="Times New Roman" w:hAnsi="Times New Roman"/>
          <w:b w:val="0"/>
          <w:i w:val="0"/>
          <w:sz w:val="20"/>
        </w:rPr>
        <w:t>+0.11</w:t>
      </w:r>
      <w:r>
        <w:rPr>
          <w:rFonts w:ascii="Times New Roman" w:hAnsi="Times New Roman"/>
          <w:b w:val="0"/>
          <w:i w:val="0"/>
          <w:sz w:val="20"/>
        </w:rPr>
        <w:t xml:space="preserve"> and </w:t>
      </w:r>
      <w:r>
        <w:rPr>
          <w:rFonts w:ascii="Times New Roman" w:hAnsi="Times New Roman"/>
          <w:b w:val="0"/>
          <w:i w:val="0"/>
          <w:sz w:val="20"/>
        </w:rPr>
        <w:t>+0.90</w:t>
      </w:r>
      <w:r>
        <w:rPr>
          <w:rFonts w:ascii="Times New Roman" w:hAnsi="Times New Roman"/>
          <w:b w:val="0"/>
          <w:i w:val="0"/>
          <w:sz w:val="20"/>
        </w:rPr>
        <w:t>), and Guys brains given HH's appearance became 3.32 years older. Strong blur (</w:t>
      </w:r>
      <w:r>
        <w:rPr>
          <w:rFonts w:ascii="Times New Roman" w:hAnsi="Times New Roman"/>
          <w:b w:val="0"/>
          <w:i w:val="0"/>
          <w:sz w:val="20"/>
        </w:rPr>
        <w:t>σ=1.5</w:t>
      </w:r>
      <w:r>
        <w:rPr>
          <w:rFonts w:ascii="Times New Roman" w:hAnsi="Times New Roman"/>
          <w:b w:val="0"/>
          <w:i w:val="0"/>
          <w:sz w:val="20"/>
        </w:rPr>
        <w:t xml:space="preserve"> voxels) lowered predictions by 3.17 years. With the cross-validated models, [CV stress-test replication].</w:t>
      </w:r>
    </w:p>
    <w:p>
      <w:pPr>
        <w:sectPr>
          <w:type w:val="continuous"/>
          <w:pgSz w:w="12240" w:h="15840"/>
          <w:pgMar w:top="1080" w:right="965" w:bottom="1440" w:left="965" w:header="720" w:footer="720" w:gutter="0"/>
          <w:cols w:space="360" w:num="2"/>
          <w:docGrid w:linePitch="360"/>
        </w:sectPr>
      </w:pPr>
    </w:p>
    <w:p>
      <w:pPr>
        <w:keepNext/>
        <w:jc w:val="center"/>
      </w:pPr>
      <w:r>
        <w:drawing>
          <wp:inline xmlns:a="http://schemas.openxmlformats.org/drawingml/2006/main" xmlns:pic="http://schemas.openxmlformats.org/drawingml/2006/picture">
            <wp:extent cx="5565038" cy="2040514"/>
            <wp:docPr id="4" name="Picture 4"/>
            <wp:cNvGraphicFramePr>
              <a:graphicFrameLocks noChangeAspect="1"/>
            </wp:cNvGraphicFramePr>
            <a:graphic>
              <a:graphicData uri="http://schemas.openxmlformats.org/drawingml/2006/picture">
                <pic:pic>
                  <pic:nvPicPr>
                    <pic:cNvPr id="0" name="stress_test.png"/>
                    <pic:cNvPicPr/>
                  </pic:nvPicPr>
                  <pic:blipFill>
                    <a:blip r:embed="rId12"/>
                    <a:stretch>
                      <a:fillRect/>
                    </a:stretch>
                  </pic:blipFill>
                  <pic:spPr>
                    <a:xfrm>
                      <a:off x="0" y="0"/>
                      <a:ext cx="5565038" cy="2040514"/>
                    </a:xfrm>
                    <a:prstGeom prst="rect"/>
                  </pic:spPr>
                </pic:pic>
              </a:graphicData>
            </a:graphic>
          </wp:inline>
        </w:drawing>
      </w:r>
    </w:p>
    <w:p>
      <w:pPr>
        <w:keepNext w:val="0"/>
        <w:spacing w:before="0" w:after="160" w:line="240" w:lineRule="auto"/>
        <w:jc w:val="center"/>
      </w:pPr>
      <w:r>
        <w:rPr>
          <w:rFonts w:ascii="Times New Roman" w:hAnsi="Times New Roman"/>
          <w:b w:val="0"/>
          <w:i w:val="0"/>
          <w:sz w:val="16"/>
        </w:rPr>
        <w:t xml:space="preserve">Fig. 4.  </w:t>
      </w:r>
      <w:r>
        <w:rPr>
          <w:rFonts w:ascii="Times New Roman" w:hAnsi="Times New Roman"/>
          <w:b w:val="0"/>
          <w:i w:val="0"/>
          <w:sz w:val="16"/>
        </w:rPr>
        <w:t>Acquisition stress test. Left: change in predicted age when each site's held-out brains are given each site's age- and sex-standardised intensity appearance, relative to matching to their own site (share of subjects changing in the majority direction). Right: single acquisition changes on 40 subjects.</w:t>
      </w:r>
    </w:p>
    <w:p>
      <w:pPr>
        <w:sectPr>
          <w:type w:val="continuous"/>
          <w:pgSz w:w="12240" w:h="15840"/>
          <w:pgMar w:top="1080" w:right="965" w:bottom="1440" w:left="965" w:header="720" w:footer="720" w:gutter="0"/>
          <w:cols w:space="360" w:num="1"/>
          <w:docGrid w:linePitch="360"/>
        </w:sectPr>
      </w:pPr>
    </w:p>
    <w:p>
      <w:pPr>
        <w:keepNext/>
        <w:spacing w:before="80" w:after="40" w:line="240" w:lineRule="auto"/>
        <w:jc w:val="left"/>
      </w:pPr>
      <w:r>
        <w:rPr>
          <w:rFonts w:ascii="Times New Roman" w:hAnsi="Times New Roman"/>
          <w:b w:val="0"/>
          <w:i/>
          <w:sz w:val="20"/>
        </w:rPr>
        <w:t>F. But acquisition sensitivity does not explain the offset</w:t>
      </w:r>
    </w:p>
    <w:p>
      <w:pPr>
        <w:keepNext w:val="0"/>
        <w:spacing w:before="0" w:after="40" w:line="240" w:lineRule="auto"/>
        <w:ind w:firstLine="245"/>
        <w:jc w:val="both"/>
      </w:pPr>
      <w:r>
        <w:rPr>
          <w:rFonts w:ascii="Times New Roman" w:hAnsi="Times New Roman"/>
          <w:b w:val="0"/>
          <w:i w:val="0"/>
          <w:sz w:val="20"/>
        </w:rPr>
        <w:t xml:space="preserve">Table </w:t>
      </w:r>
      <w:r>
        <w:rPr>
          <w:rFonts w:ascii="Times New Roman" w:hAnsi="Times New Roman"/>
          <w:b w:val="0"/>
          <w:i w:val="0"/>
          <w:sz w:val="20"/>
        </w:rPr>
        <w:t>V</w:t>
      </w:r>
      <w:r>
        <w:rPr>
          <w:rFonts w:ascii="Times New Roman" w:hAnsi="Times New Roman"/>
          <w:b w:val="0"/>
          <w:i w:val="0"/>
          <w:sz w:val="20"/>
        </w:rPr>
        <w:t xml:space="preserve"> collects every explanation tested. </w:t>
      </w:r>
      <w:r>
        <w:rPr>
          <w:rFonts w:ascii="Times New Roman" w:hAnsi="Times New Roman"/>
          <w:b w:val="0"/>
          <w:i/>
          <w:sz w:val="20"/>
        </w:rPr>
        <w:t>Intensity:</w:t>
      </w:r>
      <w:r>
        <w:rPr>
          <w:rFonts w:ascii="Times New Roman" w:hAnsi="Times New Roman"/>
          <w:b w:val="0"/>
          <w:i w:val="0"/>
          <w:sz w:val="20"/>
        </w:rPr>
        <w:t xml:space="preserve"> swapping between the Guys and IOP appearances moves predictions by at most about 1 year; without age standardisation of the references this effect was overstated (</w:t>
      </w:r>
      <w:r>
        <w:rPr>
          <w:rFonts w:ascii="Times New Roman" w:hAnsi="Times New Roman"/>
          <w:b w:val="0"/>
          <w:i w:val="0"/>
          <w:sz w:val="20"/>
        </w:rPr>
        <w:t>−0.60/+1.60</w:t>
      </w:r>
      <w:r>
        <w:rPr>
          <w:rFonts w:ascii="Times New Roman" w:hAnsi="Times New Roman"/>
          <w:b w:val="0"/>
          <w:i w:val="0"/>
          <w:sz w:val="20"/>
        </w:rPr>
        <w:t xml:space="preserve">), because IOP's younger recruitment leaked into its reference. </w:t>
      </w:r>
      <w:r>
        <w:rPr>
          <w:rFonts w:ascii="Times New Roman" w:hAnsi="Times New Roman"/>
          <w:b w:val="0"/>
          <w:i/>
          <w:sz w:val="20"/>
        </w:rPr>
        <w:t>Smoothness:</w:t>
      </w:r>
      <w:r>
        <w:rPr>
          <w:rFonts w:ascii="Times New Roman" w:hAnsi="Times New Roman"/>
          <w:b w:val="0"/>
          <w:i w:val="0"/>
          <w:sz w:val="20"/>
        </w:rPr>
        <w:t xml:space="preserve"> native resolution is identical across sites, yet IOP inputs are smoother (FWHM </w:t>
      </w:r>
      <w:r>
        <w:rPr>
          <w:rFonts w:ascii="Times New Roman" w:hAnsi="Times New Roman"/>
          <w:b w:val="0"/>
          <w:i w:val="0"/>
          <w:sz w:val="20"/>
        </w:rPr>
        <w:t>+0.87</w:t>
      </w:r>
      <w:r>
        <w:rPr>
          <w:rFonts w:ascii="Times New Roman" w:hAnsi="Times New Roman"/>
          <w:b w:val="0"/>
          <w:i w:val="0"/>
          <w:sz w:val="20"/>
        </w:rPr>
        <w:t xml:space="preserve"> mm); blurring Guys and HH brains to IOP's smoothness did not lower their predictions. </w:t>
      </w:r>
      <w:r>
        <w:rPr>
          <w:rFonts w:ascii="Times New Roman" w:hAnsi="Times New Roman"/>
          <w:b w:val="0"/>
          <w:i/>
          <w:sz w:val="20"/>
        </w:rPr>
        <w:t>Removing site from the features:</w:t>
      </w:r>
      <w:r>
        <w:rPr>
          <w:rFonts w:ascii="Times New Roman" w:hAnsi="Times New Roman"/>
          <w:b w:val="0"/>
          <w:i w:val="0"/>
          <w:sz w:val="20"/>
        </w:rPr>
        <w:t xml:space="preserve"> ComBat erased the site signature (probe 36.3%) with unchanged accuracy, but the offset remained (</w:t>
      </w:r>
      <w:r>
        <w:rPr>
          <w:rFonts w:ascii="Times New Roman" w:hAnsi="Times New Roman"/>
          <w:b w:val="0"/>
          <w:i w:val="0"/>
          <w:sz w:val="20"/>
        </w:rPr>
        <w:t>−3.95</w:t>
      </w:r>
      <w:r>
        <w:rPr>
          <w:rFonts w:ascii="Times New Roman" w:hAnsi="Times New Roman"/>
          <w:b w:val="0"/>
          <w:i w:val="0"/>
          <w:sz w:val="20"/>
        </w:rPr>
        <w:t>); with spline age it remained (</w:t>
      </w:r>
      <w:r>
        <w:rPr>
          <w:rFonts w:ascii="Times New Roman" w:hAnsi="Times New Roman"/>
          <w:b w:val="0"/>
          <w:i w:val="0"/>
          <w:sz w:val="20"/>
        </w:rPr>
        <w:t>−6.80</w:t>
      </w:r>
      <w:r>
        <w:rPr>
          <w:rFonts w:ascii="Times New Roman" w:hAnsi="Times New Roman"/>
          <w:b w:val="0"/>
          <w:i w:val="0"/>
          <w:sz w:val="20"/>
        </w:rPr>
        <w:t>); with age-conditional LEACE it remained (</w:t>
      </w:r>
      <w:r>
        <w:rPr>
          <w:rFonts w:ascii="Times New Roman" w:hAnsi="Times New Roman"/>
          <w:b w:val="0"/>
          <w:i w:val="0"/>
          <w:sz w:val="20"/>
        </w:rPr>
        <w:t>−4.46</w:t>
      </w:r>
      <w:r>
        <w:rPr>
          <w:rFonts w:ascii="Times New Roman" w:hAnsi="Times New Roman"/>
          <w:b w:val="0"/>
          <w:i w:val="0"/>
          <w:sz w:val="20"/>
        </w:rPr>
        <w:t xml:space="preserve">). Only </w:t>
      </w:r>
      <w:r>
        <w:rPr>
          <w:rFonts w:ascii="Times New Roman" w:hAnsi="Times New Roman"/>
          <w:b w:val="0"/>
          <w:i/>
          <w:sz w:val="20"/>
        </w:rPr>
        <w:t>plain</w:t>
      </w:r>
      <w:r>
        <w:rPr>
          <w:rFonts w:ascii="Times New Roman" w:hAnsi="Times New Roman"/>
          <w:b w:val="0"/>
          <w:i w:val="0"/>
          <w:sz w:val="20"/>
        </w:rPr>
        <w:t xml:space="preserve"> LEACE removed it (</w:t>
      </w:r>
      <w:r>
        <w:rPr>
          <w:rFonts w:ascii="Times New Roman" w:hAnsi="Times New Roman"/>
          <w:b w:val="0"/>
          <w:i w:val="0"/>
          <w:sz w:val="20"/>
        </w:rPr>
        <w:t>+0.40</w:t>
      </w:r>
      <w:r>
        <w:rPr>
          <w:rFonts w:ascii="Times New Roman" w:hAnsi="Times New Roman"/>
          <w:b w:val="0"/>
          <w:i w:val="0"/>
          <w:sz w:val="20"/>
        </w:rPr>
        <w:t xml:space="preserve">), and only because, IOP's training subjects being younger, it also erased age information correlated with site; the conditional version, which preserves age, does not. </w:t>
      </w:r>
      <w:r>
        <w:rPr>
          <w:rFonts w:ascii="Times New Roman" w:hAnsi="Times New Roman"/>
          <w:b w:val="0"/>
          <w:i/>
          <w:sz w:val="20"/>
        </w:rPr>
        <w:t>Cohort:</w:t>
      </w:r>
      <w:r>
        <w:rPr>
          <w:rFonts w:ascii="Times New Roman" w:hAnsi="Times New Roman"/>
          <w:b w:val="0"/>
          <w:i w:val="0"/>
          <w:sz w:val="20"/>
        </w:rPr>
        <w:t xml:space="preserve"> IOP did not differ from Guys in university degree (68% vs 56%; adjusted </w:t>
      </w:r>
      <w:r>
        <w:rPr>
          <w:rFonts w:ascii="Times New Roman" w:hAnsi="Times New Roman"/>
          <w:b w:val="0"/>
          <w:i w:val="0"/>
          <w:sz w:val="20"/>
        </w:rPr>
        <w:t>p=0.56</w:t>
      </w:r>
      <w:r>
        <w:rPr>
          <w:rFonts w:ascii="Times New Roman" w:hAnsi="Times New Roman"/>
          <w:b w:val="0"/>
          <w:i w:val="0"/>
          <w:sz w:val="20"/>
        </w:rPr>
        <w:t>), ethnicity (</w:t>
      </w:r>
      <w:r>
        <w:rPr>
          <w:rFonts w:ascii="Times New Roman" w:hAnsi="Times New Roman"/>
          <w:b w:val="0"/>
          <w:i w:val="0"/>
          <w:sz w:val="20"/>
        </w:rPr>
        <w:t>p=0.64</w:t>
      </w:r>
      <w:r>
        <w:rPr>
          <w:rFonts w:ascii="Times New Roman" w:hAnsi="Times New Roman"/>
          <w:b w:val="0"/>
          <w:i w:val="0"/>
          <w:sz w:val="20"/>
        </w:rPr>
        <w:t>) or BMI (</w:t>
      </w:r>
      <w:r>
        <w:rPr>
          <w:rFonts w:ascii="Times New Roman" w:hAnsi="Times New Roman"/>
          <w:b w:val="0"/>
          <w:i w:val="0"/>
          <w:sz w:val="20"/>
        </w:rPr>
        <w:t>p=0.49</w:t>
      </w:r>
      <w:r>
        <w:rPr>
          <w:rFonts w:ascii="Times New Roman" w:hAnsi="Times New Roman"/>
          <w:b w:val="0"/>
          <w:i w:val="0"/>
          <w:sz w:val="20"/>
        </w:rPr>
        <w:t>), and adjusting for all three left the offset unchanged in the zero-shot (</w:t>
      </w:r>
      <w:r>
        <w:rPr>
          <w:rFonts w:ascii="Times New Roman" w:hAnsi="Times New Roman"/>
          <w:b w:val="0"/>
          <w:i w:val="0"/>
          <w:sz w:val="20"/>
        </w:rPr>
        <w:t>−2.80</w:t>
      </w:r>
      <w:r>
        <w:rPr>
          <w:rFonts w:ascii="Times New Roman" w:hAnsi="Times New Roman"/>
          <w:b w:val="0"/>
          <w:i w:val="0"/>
          <w:sz w:val="20"/>
        </w:rPr>
        <w:t xml:space="preserve"> vs </w:t>
      </w:r>
      <w:r>
        <w:rPr>
          <w:rFonts w:ascii="Times New Roman" w:hAnsi="Times New Roman"/>
          <w:b w:val="0"/>
          <w:i w:val="0"/>
          <w:sz w:val="20"/>
        </w:rPr>
        <w:t>−2.74</w:t>
      </w:r>
      <w:r>
        <w:rPr>
          <w:rFonts w:ascii="Times New Roman" w:hAnsi="Times New Roman"/>
          <w:b w:val="0"/>
          <w:i w:val="0"/>
          <w:sz w:val="20"/>
        </w:rPr>
        <w:t>) and main models (</w:t>
      </w:r>
      <w:r>
        <w:rPr>
          <w:rFonts w:ascii="Times New Roman" w:hAnsi="Times New Roman"/>
          <w:b w:val="0"/>
          <w:i w:val="0"/>
          <w:sz w:val="20"/>
        </w:rPr>
        <w:t>−5.26</w:t>
      </w:r>
      <w:r>
        <w:rPr>
          <w:rFonts w:ascii="Times New Roman" w:hAnsi="Times New Roman"/>
          <w:b w:val="0"/>
          <w:i w:val="0"/>
          <w:sz w:val="20"/>
        </w:rPr>
        <w:t xml:space="preserve"> vs </w:t>
      </w:r>
      <w:r>
        <w:rPr>
          <w:rFonts w:ascii="Times New Roman" w:hAnsi="Times New Roman"/>
          <w:b w:val="0"/>
          <w:i w:val="0"/>
          <w:sz w:val="20"/>
        </w:rPr>
        <w:t>−5.13</w:t>
      </w:r>
      <w:r>
        <w:rPr>
          <w:rFonts w:ascii="Times New Roman" w:hAnsi="Times New Roman"/>
          <w:b w:val="0"/>
          <w:i w:val="0"/>
          <w:sz w:val="20"/>
        </w:rPr>
        <w:t>)[, and in CV].</w:t>
      </w:r>
    </w:p>
    <w:p>
      <w:pPr>
        <w:keepNext/>
        <w:spacing w:before="120" w:after="0" w:line="240" w:lineRule="auto"/>
        <w:jc w:val="center"/>
      </w:pPr>
      <w:r>
        <w:rPr>
          <w:rFonts w:ascii="Times New Roman" w:hAnsi="Times New Roman"/>
          <w:b w:val="0"/>
          <w:i w:val="0"/>
          <w:sz w:val="16"/>
        </w:rPr>
        <w:t>TABLE V</w:t>
      </w:r>
    </w:p>
    <w:p>
      <w:pPr>
        <w:keepNext/>
        <w:spacing w:before="0" w:after="60" w:line="240" w:lineRule="auto"/>
        <w:jc w:val="center"/>
      </w:pPr>
      <w:r>
        <w:rPr>
          <w:rFonts w:ascii="Times New Roman" w:hAnsi="Times New Roman"/>
          <w:b w:val="0"/>
          <w:i w:val="0"/>
          <w:sz w:val="16"/>
        </w:rPr>
        <w:t>Explanations tested for the IOP offset (years)</w:t>
      </w:r>
    </w:p>
    <w:tbl>
      <w:tblPr>
        <w:tblW w:type="auto" w:w="0"/>
        <w:jc w:val="center"/>
        <w:tblLook w:firstColumn="1" w:firstRow="1" w:lastColumn="0" w:lastRow="0" w:noHBand="0" w:noVBand="1" w:val="04A0"/>
      </w:tblPr>
      <w:tblGrid>
        <w:gridCol w:w="5155"/>
        <w:gridCol w:w="5155"/>
      </w:tblGrid>
      <w:tr>
        <w:tc>
          <w:tcPr>
            <w:tcW w:type="dxa" w:w="5155"/>
            <w:tcBorders>
              <w:top w:val="single" w:sz="8"/>
              <w:bottom w:val="nil" w:sz="0"/>
              <w:left w:val="nil"/>
              <w:right w:val="nil"/>
            </w:tcBorders>
          </w:tcPr>
          <w:p>
            <w:pPr>
              <w:spacing w:before="20" w:after="20"/>
              <w:jc w:val="left"/>
            </w:pPr>
            <w:r>
              <w:rPr>
                <w:rFonts w:ascii="Times New Roman" w:hAnsi="Times New Roman"/>
                <w:b/>
                <w:i w:val="0"/>
                <w:sz w:val="16"/>
              </w:rPr>
              <w:t>Test (held-out unless noted)</w:t>
            </w:r>
          </w:p>
        </w:tc>
        <w:tc>
          <w:tcPr>
            <w:tcW w:type="dxa" w:w="5155"/>
            <w:tcBorders>
              <w:top w:val="single" w:sz="8"/>
              <w:bottom w:val="nil" w:sz="0"/>
              <w:left w:val="nil"/>
              <w:right w:val="nil"/>
            </w:tcBorders>
          </w:tcPr>
          <w:p>
            <w:pPr>
              <w:spacing w:before="20" w:after="20"/>
              <w:jc w:val="center"/>
            </w:pPr>
            <w:r>
              <w:rPr>
                <w:rFonts w:ascii="Times New Roman" w:hAnsi="Times New Roman"/>
                <w:b/>
                <w:i w:val="0"/>
                <w:sz w:val="16"/>
              </w:rPr>
              <w:t>IOP offset</w:t>
            </w:r>
          </w:p>
        </w:tc>
      </w:tr>
      <w:tr>
        <w:tc>
          <w:tcPr>
            <w:tcW w:type="dxa" w:w="5155"/>
            <w:tcBorders>
              <w:top w:val="single" w:sz="8"/>
              <w:bottom w:val="nil" w:sz="0"/>
              <w:left w:val="nil"/>
              <w:right w:val="nil"/>
            </w:tcBorders>
          </w:tcPr>
          <w:p>
            <w:pPr>
              <w:spacing w:before="20" w:after="20"/>
              <w:jc w:val="left"/>
            </w:pPr>
            <w:r>
              <w:rPr>
                <w:rFonts w:ascii="Times New Roman" w:hAnsi="Times New Roman"/>
                <w:b w:val="0"/>
                <w:i w:val="0"/>
                <w:sz w:val="16"/>
              </w:rPr>
              <w:t>Reference: corrected BAG, held-out</w:t>
            </w:r>
          </w:p>
        </w:tc>
        <w:tc>
          <w:tcPr>
            <w:tcW w:type="dxa" w:w="5155"/>
            <w:tcBorders>
              <w:top w:val="single" w:sz="8"/>
              <w:bottom w:val="nil" w:sz="0"/>
              <w:left w:val="nil"/>
              <w:right w:val="nil"/>
            </w:tcBorders>
          </w:tcPr>
          <w:p>
            <w:pPr>
              <w:spacing w:before="20" w:after="20"/>
              <w:jc w:val="center"/>
            </w:pPr>
            <w:r>
              <w:rPr>
                <w:rFonts w:ascii="Times New Roman" w:hAnsi="Times New Roman"/>
                <w:b w:val="0"/>
                <w:i w:val="0"/>
                <w:sz w:val="16"/>
              </w:rPr>
              <w:t>−4.53</w:t>
            </w:r>
            <w:r>
              <w:rPr>
                <w:rFonts w:ascii="Times New Roman" w:hAnsi="Times New Roman"/>
                <w:b w:val="0"/>
                <w:i w:val="0"/>
                <w:sz w:val="16"/>
              </w:rPr>
              <w:t xml:space="preserve"> [−7.04, −2.01]</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Guys</w:t>
            </w:r>
            <w:r>
              <w:rPr>
                <w:rFonts w:ascii="Times New Roman" w:hAnsi="Times New Roman"/>
                <w:b w:val="0"/>
                <w:i w:val="0"/>
                <w:sz w:val="16"/>
              </w:rPr>
              <w:t>→</w:t>
            </w:r>
            <w:r>
              <w:rPr>
                <w:rFonts w:ascii="Times New Roman" w:hAnsi="Times New Roman"/>
                <w:b w:val="0"/>
                <w:i w:val="0"/>
                <w:sz w:val="16"/>
              </w:rPr>
              <w:t>IOP / IOP</w:t>
            </w:r>
            <w:r>
              <w:rPr>
                <w:rFonts w:ascii="Times New Roman" w:hAnsi="Times New Roman"/>
                <w:b w:val="0"/>
                <w:i w:val="0"/>
                <w:sz w:val="16"/>
              </w:rPr>
              <w:t>→</w:t>
            </w:r>
            <w:r>
              <w:rPr>
                <w:rFonts w:ascii="Times New Roman" w:hAnsi="Times New Roman"/>
                <w:b w:val="0"/>
                <w:i w:val="0"/>
                <w:sz w:val="16"/>
              </w:rPr>
              <w:t>Guys appearance swap</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+0.11</w:t>
            </w:r>
            <w:r>
              <w:rPr>
                <w:rFonts w:ascii="Times New Roman" w:hAnsi="Times New Roman"/>
                <w:b w:val="0"/>
                <w:i w:val="0"/>
                <w:sz w:val="16"/>
              </w:rPr>
              <w:t xml:space="preserve"> / </w:t>
            </w:r>
            <w:r>
              <w:rPr>
                <w:rFonts w:ascii="Times New Roman" w:hAnsi="Times New Roman"/>
                <w:b w:val="0"/>
                <w:i w:val="0"/>
                <w:sz w:val="16"/>
              </w:rPr>
              <w:t>+0.90</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Guys / HH blurred to IOP smoothness</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+0.93</w:t>
            </w:r>
            <w:r>
              <w:rPr>
                <w:rFonts w:ascii="Times New Roman" w:hAnsi="Times New Roman"/>
                <w:b w:val="0"/>
                <w:i w:val="0"/>
                <w:sz w:val="16"/>
              </w:rPr>
              <w:t xml:space="preserve"> / </w:t>
            </w:r>
            <w:r>
              <w:rPr>
                <w:rFonts w:ascii="Times New Roman" w:hAnsi="Times New Roman"/>
                <w:b w:val="0"/>
                <w:i w:val="0"/>
                <w:sz w:val="16"/>
              </w:rPr>
              <w:t>+0.01</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 native brain volume</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−4.47</w:t>
            </w:r>
            <w:r>
              <w:rPr>
                <w:rFonts w:ascii="Times New Roman" w:hAnsi="Times New Roman"/>
                <w:b w:val="0"/>
                <w:i w:val="0"/>
                <w:sz w:val="16"/>
              </w:rPr>
              <w:t xml:space="preserve"> [−6.86, −1.98]</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 degree, BMI, ethnicity</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−5.26</w:t>
            </w:r>
            <w:r>
              <w:rPr>
                <w:rFonts w:ascii="Times New Roman" w:hAnsi="Times New Roman"/>
                <w:b w:val="0"/>
                <w:i w:val="0"/>
                <w:sz w:val="16"/>
              </w:rPr>
              <w:t xml:space="preserve"> [−7.65, −2.86]</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ComBat (linear age)</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−3.95</w:t>
            </w:r>
            <w:r>
              <w:rPr>
                <w:rFonts w:ascii="Times New Roman" w:hAnsi="Times New Roman"/>
                <w:b w:val="0"/>
                <w:i w:val="0"/>
                <w:sz w:val="16"/>
              </w:rPr>
              <w:t xml:space="preserve"> [−6.39, −1.52]</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ComBat with spline age</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−6.80</w:t>
            </w:r>
            <w:r>
              <w:rPr>
                <w:rFonts w:ascii="Times New Roman" w:hAnsi="Times New Roman"/>
                <w:b w:val="0"/>
                <w:i w:val="0"/>
                <w:sz w:val="16"/>
              </w:rPr>
              <w:t xml:space="preserve"> [−10.11, −3.49]</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LEACE, age-conditional</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−4.46</w:t>
            </w:r>
            <w:r>
              <w:rPr>
                <w:rFonts w:ascii="Times New Roman" w:hAnsi="Times New Roman"/>
                <w:b w:val="0"/>
                <w:i w:val="0"/>
                <w:sz w:val="16"/>
              </w:rPr>
              <w:t xml:space="preserve"> [−7.20, −1.73]</w:t>
            </w:r>
          </w:p>
        </w:tc>
      </w:tr>
      <w:tr>
        <w:tc>
          <w:tcPr>
            <w:tcW w:type="dxa" w:w="5155"/>
            <w:tcBorders>
              <w:top w:val="nil" w:sz="0"/>
              <w:bottom w:val="nil" w:sz="0"/>
              <w:left w:val="nil"/>
              <w:right w:val="nil"/>
            </w:tcBorders>
          </w:tcPr>
          <w:p>
            <w:pPr>
              <w:spacing w:before="20" w:after="20"/>
              <w:jc w:val="left"/>
            </w:pPr>
            <w:r>
              <w:rPr>
                <w:rFonts w:ascii="Times New Roman" w:hAnsi="Times New Roman"/>
                <w:b w:val="0"/>
                <w:i w:val="0"/>
                <w:sz w:val="16"/>
              </w:rPr>
              <w:t>LEACE, plain (removes age information)</w:t>
            </w:r>
          </w:p>
        </w:tc>
        <w:tc>
          <w:tcPr>
            <w:tcW w:type="dxa" w:w="5155"/>
            <w:tcBorders>
              <w:top w:val="nil" w:sz="0"/>
              <w:bottom w:val="nil" w:sz="0"/>
              <w:left w:val="nil"/>
              <w:right w:val="nil"/>
            </w:tcBorders>
          </w:tcPr>
          <w:p>
            <w:pPr>
              <w:spacing w:before="20" w:after="20"/>
              <w:jc w:val="center"/>
            </w:pPr>
            <w:r>
              <w:rPr>
                <w:rFonts w:ascii="Times New Roman" w:hAnsi="Times New Roman"/>
                <w:b w:val="0"/>
                <w:i w:val="0"/>
                <w:sz w:val="16"/>
              </w:rPr>
              <w:t>+0.40</w:t>
            </w:r>
            <w:r>
              <w:rPr>
                <w:rFonts w:ascii="Times New Roman" w:hAnsi="Times New Roman"/>
                <w:b w:val="0"/>
                <w:i w:val="0"/>
                <w:sz w:val="16"/>
              </w:rPr>
              <w:t xml:space="preserve"> [−3.01, 3.82]</w:t>
            </w:r>
          </w:p>
        </w:tc>
      </w:tr>
      <w:tr>
        <w:tc>
          <w:tcPr>
            <w:tcW w:type="dxa" w:w="5155"/>
            <w:tcBorders>
              <w:top w:val="nil" w:sz="0"/>
              <w:bottom w:val="single" w:sz="8"/>
              <w:left w:val="nil"/>
              <w:right w:val="nil"/>
            </w:tcBorders>
          </w:tcPr>
          <w:p>
            <w:pPr>
              <w:spacing w:before="20" w:after="20"/>
              <w:jc w:val="left"/>
            </w:pPr>
            <w:r>
              <w:rPr>
                <w:rFonts w:ascii="Times New Roman" w:hAnsi="Times New Roman"/>
                <w:b w:val="0"/>
                <w:i w:val="0"/>
                <w:sz w:val="16"/>
              </w:rPr>
              <w:t>Zero-shot model, before fine-tuning</w:t>
            </w:r>
            <w:r>
              <w:rPr>
                <w:rFonts w:ascii="Times New Roman" w:hAnsi="Times New Roman"/>
                <w:b w:val="0"/>
                <w:i w:val="0"/>
                <w:sz w:val="16"/>
              </w:rPr>
              <w:t>^*</w:t>
            </w:r>
          </w:p>
        </w:tc>
        <w:tc>
          <w:tcPr>
            <w:tcW w:type="dxa" w:w="5155"/>
            <w:tcBorders>
              <w:top w:val="nil" w:sz="0"/>
              <w:bottom w:val="single" w:sz="8"/>
              <w:left w:val="nil"/>
              <w:right w:val="nil"/>
            </w:tcBorders>
          </w:tcPr>
          <w:p>
            <w:pPr>
              <w:spacing w:before="20" w:after="20"/>
              <w:jc w:val="center"/>
            </w:pPr>
            <w:r>
              <w:rPr>
                <w:rFonts w:ascii="Times New Roman" w:hAnsi="Times New Roman"/>
                <w:b w:val="0"/>
                <w:i w:val="0"/>
                <w:sz w:val="16"/>
              </w:rPr>
              <w:t>−3.34</w:t>
            </w:r>
            <w:r>
              <w:rPr>
                <w:rFonts w:ascii="Times New Roman" w:hAnsi="Times New Roman"/>
                <w:b w:val="0"/>
                <w:i w:val="0"/>
                <w:sz w:val="16"/>
              </w:rPr>
              <w:t xml:space="preserve"> [−4.71, −1.91]</w:t>
            </w:r>
          </w:p>
        </w:tc>
      </w:tr>
    </w:tbl>
    <w:p>
      <w:pPr>
        <w:keepNext w:val="0"/>
        <w:spacing w:before="0" w:after="0" w:line="240" w:lineRule="auto"/>
        <w:jc w:val="left"/>
      </w:pPr>
      <w:r>
        <w:rPr>
          <w:rFonts w:ascii="Times New Roman" w:hAnsi="Times New Roman"/>
          <w:b w:val="0"/>
          <w:i w:val="0"/>
          <w:sz w:val="15"/>
        </w:rPr>
        <w:t>^*</w:t>
      </w:r>
      <w:r>
        <w:rPr>
          <w:rFonts w:ascii="Times New Roman" w:hAnsi="Times New Roman"/>
          <w:b w:val="0"/>
          <w:i w:val="0"/>
          <w:sz w:val="15"/>
        </w:rPr>
        <w:t>Raw prediction, age-adjusted, all subjects aged 42–82.</w:t>
      </w:r>
    </w:p>
    <w:p>
      <w:pPr>
        <w:keepNext w:val="0"/>
        <w:spacing w:before="0" w:after="0" w:line="240" w:lineRule="auto"/>
        <w:ind w:firstLine="245"/>
        <w:jc w:val="both"/>
      </w:pPr>
    </w:p>
    <w:p>
      <w:pPr>
        <w:sectPr>
          <w:type w:val="continuous"/>
          <w:pgSz w:w="12240" w:h="15840"/>
          <w:pgMar w:top="1080" w:right="965" w:bottom="1440" w:left="965" w:header="720" w:footer="720" w:gutter="0"/>
          <w:cols w:space="360" w:num="2"/>
          <w:docGrid w:linePitch="360"/>
        </w:sectPr>
      </w:pPr>
    </w:p>
    <w:p>
      <w:pPr>
        <w:keepNext/>
        <w:jc w:val="center"/>
      </w:pPr>
      <w:r>
        <w:drawing>
          <wp:inline xmlns:a="http://schemas.openxmlformats.org/drawingml/2006/main" xmlns:pic="http://schemas.openxmlformats.org/drawingml/2006/picture">
            <wp:extent cx="6219748" cy="1777071"/>
            <wp:docPr id="5" name="Picture 5"/>
            <wp:cNvGraphicFramePr>
              <a:graphicFrameLocks noChangeAspect="1"/>
            </wp:cNvGraphicFramePr>
            <a:graphic>
              <a:graphicData uri="http://schemas.openxmlformats.org/drawingml/2006/picture">
                <pic:pic>
                  <pic:nvPicPr>
                    <pic:cNvPr id="0" name="harmonisation.png"/>
                    <pic:cNvPicPr/>
                  </pic:nvPicPr>
                  <pic:blipFill>
                    <a:blip r:embed="rId13"/>
                    <a:stretch>
                      <a:fillRect/>
                    </a:stretch>
                  </pic:blipFill>
                  <pic:spPr>
                    <a:xfrm>
                      <a:off x="0" y="0"/>
                      <a:ext cx="6219748" cy="1777071"/>
                    </a:xfrm>
                    <a:prstGeom prst="rect"/>
                  </pic:spPr>
                </pic:pic>
              </a:graphicData>
            </a:graphic>
          </wp:inline>
        </w:drawing>
      </w:r>
    </w:p>
    <w:p>
      <w:pPr>
        <w:keepNext w:val="0"/>
        <w:spacing w:before="0" w:after="160" w:line="240" w:lineRule="auto"/>
        <w:jc w:val="center"/>
      </w:pPr>
      <w:r>
        <w:rPr>
          <w:rFonts w:ascii="Times New Roman" w:hAnsi="Times New Roman"/>
          <w:b w:val="0"/>
          <w:i w:val="0"/>
          <w:sz w:val="16"/>
        </w:rPr>
        <w:t xml:space="preserve">Fig. 5.  </w:t>
      </w:r>
      <w:r>
        <w:rPr>
          <w:rFonts w:ascii="Times New Roman" w:hAnsi="Times New Roman"/>
          <w:b w:val="0"/>
          <w:i w:val="0"/>
          <w:sz w:val="16"/>
        </w:rPr>
        <w:t>ComBat harmonisation of the features: the site fingerprint is removed (left) and accuracy is unchanged (right), but the IOP offset remains (middle).</w:t>
      </w:r>
    </w:p>
    <w:p>
      <w:pPr>
        <w:sectPr>
          <w:type w:val="continuous"/>
          <w:pgSz w:w="12240" w:h="15840"/>
          <w:pgMar w:top="1080" w:right="965" w:bottom="1440" w:left="965" w:header="720" w:footer="720" w:gutter="0"/>
          <w:cols w:space="360" w:num="1"/>
          <w:docGrid w:linePitch="360"/>
        </w:sectPr>
      </w:pPr>
    </w:p>
    <w:p>
      <w:pPr>
        <w:keepNext/>
        <w:spacing w:before="80" w:after="40" w:line="240" w:lineRule="auto"/>
        <w:jc w:val="left"/>
      </w:pPr>
      <w:r>
        <w:rPr>
          <w:rFonts w:ascii="Times New Roman" w:hAnsi="Times New Roman"/>
          <w:b w:val="0"/>
          <w:i/>
          <w:sz w:val="20"/>
        </w:rPr>
        <w:t>G. Where the model looks, and whether to trust it</w:t>
      </w:r>
    </w:p>
    <w:p>
      <w:pPr>
        <w:keepNext w:val="0"/>
        <w:spacing w:before="0" w:after="40" w:line="240" w:lineRule="auto"/>
        <w:ind w:firstLine="245"/>
        <w:jc w:val="both"/>
      </w:pPr>
      <w:r>
        <w:rPr>
          <w:rFonts w:ascii="Times New Roman" w:hAnsi="Times New Roman"/>
          <w:b w:val="0"/>
          <w:i w:val="0"/>
          <w:sz w:val="20"/>
        </w:rPr>
        <w:t xml:space="preserve">Attribution concentrates on deep grey matter around the ventricles, periventricular white matter and the cerebellum; normalised by volume, deep grey matter receives 3.2 times its volume share (Fig. </w:t>
      </w:r>
      <w:r>
        <w:rPr>
          <w:rFonts w:ascii="Times New Roman" w:hAnsi="Times New Roman"/>
          <w:b w:val="0"/>
          <w:i w:val="0"/>
          <w:sz w:val="20"/>
        </w:rPr>
        <w:t>6</w:t>
      </w:r>
      <w:r>
        <w:rPr>
          <w:rFonts w:ascii="Times New Roman" w:hAnsi="Times New Roman"/>
          <w:b w:val="0"/>
          <w:i w:val="0"/>
          <w:sz w:val="20"/>
        </w:rPr>
        <w:t xml:space="preserve">). The maps depend on the learned weights (randomisation </w:t>
      </w:r>
      <w:r>
        <w:rPr>
          <w:rFonts w:ascii="Times New Roman" w:hAnsi="Times New Roman"/>
          <w:b w:val="0"/>
          <w:i w:val="0"/>
          <w:sz w:val="20"/>
        </w:rPr>
        <w:t>ρ=0.13</w:t>
      </w:r>
      <w:r>
        <w:rPr>
          <w:rFonts w:ascii="Times New Roman" w:hAnsi="Times New Roman"/>
          <w:b w:val="0"/>
          <w:i w:val="0"/>
          <w:sz w:val="20"/>
        </w:rPr>
        <w:t>). Removing the top-ranked 5% of cells changed predictions far more than random cells under both baselines ([smooth and mean baseline numbers, signed and absolute]), and Integrated Gradients agreed with the maps ([median Spearman, top-10% overlap]). No region differed by sex after FDR correction. By site, HH and IOP place 13–16% less attribution density on deep grey matter and 12–15% less on the hippocampus and amygdala than Guys (</w:t>
      </w:r>
      <w:r>
        <w:rPr>
          <w:rFonts w:ascii="Times New Roman" w:hAnsi="Times New Roman"/>
          <w:b w:val="0"/>
          <w:i w:val="0"/>
          <w:sz w:val="20"/>
        </w:rPr>
        <w:t>q&lt;0.001</w:t>
      </w:r>
      <w:r>
        <w:rPr>
          <w:rFonts w:ascii="Times New Roman" w:hAnsi="Times New Roman"/>
          <w:b w:val="0"/>
          <w:i w:val="0"/>
          <w:sz w:val="20"/>
        </w:rPr>
        <w:t>); these are relative differences in density, not artefacts of region size.</w:t>
      </w:r>
    </w:p>
    <w:p>
      <w:pPr>
        <w:keepNext/>
        <w:jc w:val="center"/>
      </w:pPr>
      <w:r>
        <w:drawing>
          <wp:inline xmlns:a="http://schemas.openxmlformats.org/drawingml/2006/main" xmlns:pic="http://schemas.openxmlformats.org/drawingml/2006/picture">
            <wp:extent cx="3200400" cy="1040938"/>
            <wp:docPr id="6" name="Picture 6"/>
            <wp:cNvGraphicFramePr>
              <a:graphicFrameLocks noChangeAspect="1"/>
            </wp:cNvGraphicFramePr>
            <a:graphic>
              <a:graphicData uri="http://schemas.openxmlformats.org/drawingml/2006/picture">
                <pic:pic>
                  <pic:nvPicPr>
                    <pic:cNvPr id="0" name="attribution_mean_map.png"/>
                    <pic:cNvPicPr/>
                  </pic:nvPicPr>
                  <pic:blipFill>
                    <a:blip r:embed="rId14"/>
                    <a:stretch>
                      <a:fillRect/>
                    </a:stretch>
                  </pic:blipFill>
                  <pic:spPr>
                    <a:xfrm>
                      <a:off x="0" y="0"/>
                      <a:ext cx="3200400" cy="1040938"/>
                    </a:xfrm>
                    <a:prstGeom prst="rect"/>
                  </pic:spPr>
                </pic:pic>
              </a:graphicData>
            </a:graphic>
          </wp:inline>
        </w:drawing>
      </w:r>
    </w:p>
    <w:p>
      <w:pPr>
        <w:keepNext/>
        <w:jc w:val="center"/>
      </w:pPr>
      <w:r>
        <w:drawing>
          <wp:inline xmlns:a="http://schemas.openxmlformats.org/drawingml/2006/main" xmlns:pic="http://schemas.openxmlformats.org/drawingml/2006/picture">
            <wp:extent cx="3200400" cy="1440180"/>
            <wp:docPr id="7" name="Picture 7"/>
            <wp:cNvGraphicFramePr>
              <a:graphicFrameLocks noChangeAspect="1"/>
            </wp:cNvGraphicFramePr>
            <a:graphic>
              <a:graphicData uri="http://schemas.openxmlformats.org/drawingml/2006/picture">
                <pic:pic>
                  <pic:nvPicPr>
                    <pic:cNvPr id="0" name="attribution_density.png"/>
                    <pic:cNvPicPr/>
                  </pic:nvPicPr>
                  <pic:blipFill>
                    <a:blip r:embed="rId15"/>
                    <a:stretch>
                      <a:fillRect/>
                    </a:stretch>
                  </pic:blipFill>
                  <pic:spPr>
                    <a:xfrm>
                      <a:off x="0" y="0"/>
                      <a:ext cx="3200400" cy="1440180"/>
                    </a:xfrm>
                    <a:prstGeom prst="rect"/>
                  </pic:spPr>
                </pic:pic>
              </a:graphicData>
            </a:graphic>
          </wp:inline>
        </w:drawing>
      </w:r>
    </w:p>
    <w:p>
      <w:pPr>
        <w:keepNext w:val="0"/>
        <w:spacing w:before="0" w:after="160" w:line="240" w:lineRule="auto"/>
        <w:jc w:val="both"/>
      </w:pPr>
      <w:r>
        <w:rPr>
          <w:rFonts w:ascii="Times New Roman" w:hAnsi="Times New Roman"/>
          <w:b w:val="0"/>
          <w:i w:val="0"/>
          <w:sz w:val="16"/>
        </w:rPr>
        <w:t xml:space="preserve">Fig. 6.  </w:t>
      </w:r>
      <w:r>
        <w:rPr>
          <w:rFonts w:ascii="Times New Roman" w:hAnsi="Times New Roman"/>
          <w:b w:val="0"/>
          <w:i w:val="0"/>
          <w:sz w:val="16"/>
        </w:rPr>
        <w:t>Top: mean attribution over held-out subjects. Bottom: attribution density (share of attribution divided by share of brain volume) by region and site.</w:t>
      </w:r>
    </w:p>
    <w:p>
      <w:pPr>
        <w:keepNext/>
        <w:spacing w:before="80" w:after="40" w:line="240" w:lineRule="auto"/>
        <w:jc w:val="left"/>
      </w:pPr>
      <w:r>
        <w:rPr>
          <w:rFonts w:ascii="Times New Roman" w:hAnsi="Times New Roman"/>
          <w:b w:val="0"/>
          <w:i/>
          <w:sz w:val="20"/>
        </w:rPr>
        <w:t>H. Uncertainty</w:t>
      </w:r>
    </w:p>
    <w:p>
      <w:pPr>
        <w:keepNext w:val="0"/>
        <w:spacing w:before="0" w:after="40" w:line="240" w:lineRule="auto"/>
        <w:ind w:firstLine="245"/>
        <w:jc w:val="both"/>
      </w:pPr>
      <w:r>
        <w:rPr>
          <w:rFonts w:ascii="Times New Roman" w:hAnsi="Times New Roman"/>
          <w:b w:val="0"/>
          <w:i w:val="0"/>
          <w:sz w:val="20"/>
        </w:rPr>
        <w:t>The model's own spread was larger for IOP (8.06 vs 5.66 years for Guys) and doubled when IOP was unseen (12.46 vs 6.13) with 92% coverage, so the model signals unfamiliar data. Out of fold, the model's own 90% range covered [per-site coverage]; pooled conformal intervals [pending]; per-site conformal intervals [pending]. Per subject, uncertainty tracked error only weakly (Spearman 0.16).</w:t>
      </w:r>
    </w:p>
    <w:p>
      <w:pPr>
        <w:keepNext/>
        <w:spacing w:before="80" w:after="40" w:line="240" w:lineRule="auto"/>
        <w:jc w:val="left"/>
      </w:pPr>
      <w:r>
        <w:rPr>
          <w:rFonts w:ascii="Times New Roman" w:hAnsi="Times New Roman"/>
          <w:b w:val="0"/>
          <w:i/>
          <w:sz w:val="20"/>
        </w:rPr>
        <w:t>I. Model fairness passport</w:t>
      </w:r>
    </w:p>
    <w:p>
      <w:pPr>
        <w:keepNext w:val="0"/>
        <w:spacing w:before="0" w:after="40" w:line="240" w:lineRule="auto"/>
        <w:ind w:firstLine="245"/>
        <w:jc w:val="both"/>
      </w:pPr>
      <w:r>
        <w:rPr>
          <w:rFonts w:ascii="Times New Roman" w:hAnsi="Times New Roman"/>
          <w:b w:val="0"/>
          <w:i w:val="0"/>
          <w:sz w:val="20"/>
        </w:rPr>
        <w:t xml:space="preserve">Table </w:t>
      </w:r>
      <w:r>
        <w:rPr>
          <w:rFonts w:ascii="Times New Roman" w:hAnsi="Times New Roman"/>
          <w:b w:val="0"/>
          <w:i w:val="0"/>
          <w:sz w:val="20"/>
        </w:rPr>
        <w:t>VI</w:t>
      </w:r>
      <w:r>
        <w:rPr>
          <w:rFonts w:ascii="Times New Roman" w:hAnsi="Times New Roman"/>
          <w:b w:val="0"/>
          <w:i w:val="0"/>
          <w:sz w:val="20"/>
        </w:rPr>
        <w:t xml:space="preserve"> applies the pre-specified criteria. The full passport, its machine-readable criteria and the script that generates it are released.</w:t>
      </w:r>
    </w:p>
    <w:p>
      <w:pPr>
        <w:keepNext/>
        <w:spacing w:before="120" w:after="0" w:line="240" w:lineRule="auto"/>
        <w:jc w:val="center"/>
      </w:pPr>
      <w:r>
        <w:rPr>
          <w:rFonts w:ascii="Times New Roman" w:hAnsi="Times New Roman"/>
          <w:b w:val="0"/>
          <w:i w:val="0"/>
          <w:sz w:val="16"/>
        </w:rPr>
        <w:t>TABLE VI</w:t>
      </w:r>
    </w:p>
    <w:p>
      <w:pPr>
        <w:keepNext/>
        <w:spacing w:before="0" w:after="60" w:line="240" w:lineRule="auto"/>
        <w:jc w:val="center"/>
      </w:pPr>
      <w:r>
        <w:rPr>
          <w:rFonts w:ascii="Times New Roman" w:hAnsi="Times New Roman"/>
          <w:b w:val="0"/>
          <w:i w:val="0"/>
          <w:sz w:val="16"/>
        </w:rPr>
        <w:t>Model fairness passport (pre-specified criteria)</w:t>
      </w:r>
    </w:p>
    <w:tbl>
      <w:tblPr>
        <w:tblW w:type="auto" w:w="0"/>
        <w:jc w:val="center"/>
        <w:tblLook w:firstColumn="1" w:firstRow="1" w:lastColumn="0" w:lastRow="0" w:noHBand="0" w:noVBand="1" w:val="04A0"/>
      </w:tblPr>
      <w:tblGrid>
        <w:gridCol w:w="3437"/>
        <w:gridCol w:w="3437"/>
        <w:gridCol w:w="3437"/>
      </w:tblGrid>
      <w:tr>
        <w:tc>
          <w:tcPr>
            <w:tcW w:type="dxa" w:w="3437"/>
            <w:tcBorders>
              <w:top w:val="single" w:sz="8"/>
              <w:bottom w:val="nil" w:sz="0"/>
              <w:left w:val="nil"/>
              <w:right w:val="nil"/>
            </w:tcBorders>
          </w:tcPr>
          <w:p>
            <w:pPr>
              <w:spacing w:before="20" w:after="20"/>
              <w:jc w:val="left"/>
            </w:pPr>
            <w:r>
              <w:rPr>
                <w:rFonts w:ascii="Times New Roman" w:hAnsi="Times New Roman"/>
                <w:b/>
                <w:i w:val="0"/>
                <w:sz w:val="16"/>
              </w:rPr>
              <w:t>Check</w:t>
            </w:r>
          </w:p>
        </w:tc>
        <w:tc>
          <w:tcPr>
            <w:tcW w:type="dxa" w:w="3437"/>
            <w:tcBorders>
              <w:top w:val="single" w:sz="8"/>
              <w:bottom w:val="nil" w:sz="0"/>
              <w:left w:val="nil"/>
              <w:right w:val="nil"/>
            </w:tcBorders>
          </w:tcPr>
          <w:p>
            <w:pPr>
              <w:spacing w:before="20" w:after="20"/>
              <w:jc w:val="center"/>
            </w:pPr>
            <w:r>
              <w:rPr>
                <w:rFonts w:ascii="Times New Roman" w:hAnsi="Times New Roman"/>
                <w:b/>
                <w:i w:val="0"/>
                <w:sz w:val="16"/>
              </w:rPr>
              <w:t>Verdict</w:t>
            </w:r>
          </w:p>
        </w:tc>
        <w:tc>
          <w:tcPr>
            <w:tcW w:type="dxa" w:w="3437"/>
            <w:tcBorders>
              <w:top w:val="single" w:sz="8"/>
              <w:bottom w:val="nil" w:sz="0"/>
              <w:left w:val="nil"/>
              <w:right w:val="nil"/>
            </w:tcBorders>
          </w:tcPr>
          <w:p>
            <w:pPr>
              <w:spacing w:before="20" w:after="20"/>
              <w:jc w:val="center"/>
            </w:pPr>
            <w:r>
              <w:rPr>
                <w:rFonts w:ascii="Times New Roman" w:hAnsi="Times New Roman"/>
                <w:b/>
                <w:i w:val="0"/>
                <w:sz w:val="16"/>
              </w:rPr>
              <w:t>Evidence</w:t>
            </w:r>
          </w:p>
        </w:tc>
      </w:tr>
      <w:tr>
        <w:tc>
          <w:tcPr>
            <w:tcW w:type="dxa" w:w="3437"/>
            <w:tcBorders>
              <w:top w:val="single" w:sz="8"/>
              <w:bottom w:val="nil" w:sz="0"/>
              <w:left w:val="nil"/>
              <w:right w:val="nil"/>
            </w:tcBorders>
          </w:tcPr>
          <w:p>
            <w:pPr>
              <w:spacing w:before="20" w:after="20"/>
              <w:jc w:val="left"/>
            </w:pPr>
            <w:r>
              <w:rPr>
                <w:rFonts w:ascii="Times New Roman" w:hAnsi="Times New Roman"/>
                <w:b w:val="0"/>
                <w:i w:val="0"/>
                <w:sz w:val="16"/>
              </w:rPr>
              <w:t>Accuracy</w:t>
            </w:r>
          </w:p>
        </w:tc>
        <w:tc>
          <w:tcPr>
            <w:tcW w:type="dxa" w:w="3437"/>
            <w:tcBorders>
              <w:top w:val="single" w:sz="8"/>
              <w:bottom w:val="nil" w:sz="0"/>
              <w:left w:val="nil"/>
              <w:right w:val="nil"/>
            </w:tcBorders>
          </w:tcPr>
          <w:p>
            <w:pPr>
              <w:spacing w:before="20" w:after="20"/>
              <w:jc w:val="center"/>
            </w:pPr>
            <w:r>
              <w:rPr>
                <w:rFonts w:ascii="Times New Roman" w:hAnsi="Times New Roman"/>
                <w:b w:val="0"/>
                <w:i w:val="0"/>
                <w:color w:val="0F7A3A"/>
                <w:sz w:val="16"/>
              </w:rPr>
              <w:t>PASS</w:t>
            </w:r>
          </w:p>
        </w:tc>
        <w:tc>
          <w:tcPr>
            <w:tcW w:type="dxa" w:w="3437"/>
            <w:tcBorders>
              <w:top w:val="single" w:sz="8"/>
              <w:bottom w:val="nil" w:sz="0"/>
              <w:left w:val="nil"/>
              <w:right w:val="nil"/>
            </w:tcBorders>
          </w:tcPr>
          <w:p>
            <w:pPr>
              <w:spacing w:before="20" w:after="20"/>
              <w:jc w:val="center"/>
            </w:pPr>
            <w:r>
              <w:rPr>
                <w:rFonts w:ascii="Times New Roman" w:hAnsi="Times New Roman"/>
                <w:b w:val="0"/>
                <w:i w:val="0"/>
                <w:sz w:val="16"/>
              </w:rPr>
              <w:t xml:space="preserve">MAE 3.71, </w:t>
            </w:r>
            <w:r>
              <w:rPr>
                <w:rFonts w:ascii="Times New Roman" w:hAnsi="Times New Roman"/>
                <w:b w:val="0"/>
                <w:i w:val="0"/>
                <w:sz w:val="16"/>
              </w:rPr>
              <w:t>r</w:t>
            </w:r>
            <w:r>
              <w:rPr>
                <w:rFonts w:ascii="Times New Roman" w:hAnsi="Times New Roman"/>
                <w:b w:val="0"/>
                <w:i w:val="0"/>
                <w:sz w:val="16"/>
              </w:rPr>
              <w:t xml:space="preserve"> 0.966</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Fairness by sex</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error equivalent; gap [pending]</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Fairness by site</w:t>
            </w:r>
          </w:p>
        </w:tc>
        <w:tc>
          <w:tcPr>
            <w:tcW w:type="dxa" w:w="3437"/>
            <w:tcBorders>
              <w:top w:val="nil" w:sz="0"/>
              <w:bottom w:val="nil" w:sz="0"/>
              <w:left w:val="nil"/>
              <w:right w:val="nil"/>
            </w:tcBorders>
          </w:tcPr>
          <w:p>
            <w:pPr>
              <w:spacing w:before="20" w:after="20"/>
              <w:jc w:val="center"/>
            </w:pPr>
            <w:r>
              <w:rPr>
                <w:rFonts w:ascii="Times New Roman" w:hAnsi="Times New Roman"/>
                <w:b w:val="0"/>
                <w:i w:val="0"/>
                <w:color w:val="B42318"/>
                <w:sz w:val="16"/>
              </w:rPr>
              <w:t>FAIL</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 xml:space="preserve">IOP </w:t>
            </w:r>
            <w:r>
              <w:rPr>
                <w:rFonts w:ascii="Times New Roman" w:hAnsi="Times New Roman"/>
                <w:b w:val="0"/>
                <w:i w:val="0"/>
                <w:sz w:val="16"/>
              </w:rPr>
              <w:t>−4</w:t>
            </w:r>
            <w:r>
              <w:rPr>
                <w:rFonts w:ascii="Times New Roman" w:hAnsi="Times New Roman"/>
                <w:b w:val="0"/>
                <w:i w:val="0"/>
                <w:sz w:val="16"/>
              </w:rPr>
              <w:t xml:space="preserve"> to </w:t>
            </w:r>
            <w:r>
              <w:rPr>
                <w:rFonts w:ascii="Times New Roman" w:hAnsi="Times New Roman"/>
                <w:b w:val="0"/>
                <w:i w:val="0"/>
                <w:sz w:val="16"/>
              </w:rPr>
              <w:t>−5</w:t>
            </w:r>
            <w:r>
              <w:rPr>
                <w:rFonts w:ascii="Times New Roman" w:hAnsi="Times New Roman"/>
                <w:b w:val="0"/>
                <w:i w:val="0"/>
                <w:sz w:val="16"/>
              </w:rPr>
              <w:t xml:space="preserve"> yrs, replicated, robust to age</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Scanner invariance</w:t>
            </w:r>
          </w:p>
        </w:tc>
        <w:tc>
          <w:tcPr>
            <w:tcW w:type="dxa" w:w="3437"/>
            <w:tcBorders>
              <w:top w:val="nil" w:sz="0"/>
              <w:bottom w:val="nil" w:sz="0"/>
              <w:left w:val="nil"/>
              <w:right w:val="nil"/>
            </w:tcBorders>
          </w:tcPr>
          <w:p>
            <w:pPr>
              <w:spacing w:before="20" w:after="20"/>
              <w:jc w:val="center"/>
            </w:pPr>
            <w:r>
              <w:rPr>
                <w:rFonts w:ascii="Times New Roman" w:hAnsi="Times New Roman"/>
                <w:b w:val="0"/>
                <w:i w:val="0"/>
                <w:color w:val="B42318"/>
                <w:sz w:val="16"/>
              </w:rPr>
              <w:t>FAIL</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HH</w:t>
            </w:r>
            <w:r>
              <w:rPr>
                <w:rFonts w:ascii="Times New Roman" w:hAnsi="Times New Roman"/>
                <w:b w:val="0"/>
                <w:i w:val="0"/>
                <w:sz w:val="16"/>
              </w:rPr>
              <w:t>\leftrightarrow</w:t>
            </w:r>
            <w:r>
              <w:rPr>
                <w:rFonts w:ascii="Times New Roman" w:hAnsi="Times New Roman"/>
                <w:b w:val="0"/>
                <w:i w:val="0"/>
                <w:sz w:val="16"/>
              </w:rPr>
              <w:t>IOP appearance shifts 3–4 yrs</w:t>
            </w:r>
          </w:p>
        </w:tc>
      </w:tr>
      <w:tr>
        <w:tc>
          <w:tcPr>
            <w:tcW w:type="dxa" w:w="3437"/>
            <w:tcBorders>
              <w:top w:val="nil" w:sz="0"/>
              <w:bottom w:val="nil" w:sz="0"/>
              <w:left w:val="nil"/>
              <w:right w:val="nil"/>
            </w:tcBorders>
          </w:tcPr>
          <w:p>
            <w:pPr>
              <w:spacing w:before="20" w:after="20"/>
              <w:jc w:val="left"/>
            </w:pPr>
            <w:r>
              <w:rPr>
                <w:rFonts w:ascii="Times New Roman" w:hAnsi="Times New Roman"/>
                <w:b w:val="0"/>
                <w:i w:val="0"/>
                <w:sz w:val="16"/>
              </w:rPr>
              <w:t>Faithful explanations</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[pending]</w:t>
            </w:r>
          </w:p>
        </w:tc>
        <w:tc>
          <w:tcPr>
            <w:tcW w:type="dxa" w:w="3437"/>
            <w:tcBorders>
              <w:top w:val="nil" w:sz="0"/>
              <w:bottom w:val="nil" w:sz="0"/>
              <w:left w:val="nil"/>
              <w:right w:val="nil"/>
            </w:tcBorders>
          </w:tcPr>
          <w:p>
            <w:pPr>
              <w:spacing w:before="20" w:after="20"/>
              <w:jc w:val="center"/>
            </w:pPr>
            <w:r>
              <w:rPr>
                <w:rFonts w:ascii="Times New Roman" w:hAnsi="Times New Roman"/>
                <w:b w:val="0"/>
                <w:i w:val="0"/>
                <w:sz w:val="16"/>
              </w:rPr>
              <w:t>randomisation, deletion (2 baselines), IG</w:t>
            </w:r>
          </w:p>
        </w:tc>
      </w:tr>
      <w:tr>
        <w:tc>
          <w:tcPr>
            <w:tcW w:type="dxa" w:w="3437"/>
            <w:tcBorders>
              <w:top w:val="nil" w:sz="0"/>
              <w:bottom w:val="single" w:sz="8"/>
              <w:left w:val="nil"/>
              <w:right w:val="nil"/>
            </w:tcBorders>
          </w:tcPr>
          <w:p>
            <w:pPr>
              <w:spacing w:before="20" w:after="20"/>
              <w:jc w:val="left"/>
            </w:pPr>
            <w:r>
              <w:rPr>
                <w:rFonts w:ascii="Times New Roman" w:hAnsi="Times New Roman"/>
                <w:b w:val="0"/>
                <w:i w:val="0"/>
                <w:sz w:val="16"/>
              </w:rPr>
              <w:t>Honest uncertainty</w:t>
            </w:r>
          </w:p>
        </w:tc>
        <w:tc>
          <w:tcPr>
            <w:tcW w:type="dxa" w:w="3437"/>
            <w:tcBorders>
              <w:top w:val="nil" w:sz="0"/>
              <w:bottom w:val="single" w:sz="8"/>
              <w:left w:val="nil"/>
              <w:right w:val="nil"/>
            </w:tcBorders>
          </w:tcPr>
          <w:p>
            <w:pPr>
              <w:spacing w:before="20" w:after="20"/>
              <w:jc w:val="center"/>
            </w:pPr>
            <w:r>
              <w:rPr>
                <w:rFonts w:ascii="Times New Roman" w:hAnsi="Times New Roman"/>
                <w:b w:val="0"/>
                <w:i w:val="0"/>
                <w:sz w:val="16"/>
              </w:rPr>
              <w:t>[pending]</w:t>
            </w:r>
          </w:p>
        </w:tc>
        <w:tc>
          <w:tcPr>
            <w:tcW w:type="dxa" w:w="3437"/>
            <w:tcBorders>
              <w:top w:val="nil" w:sz="0"/>
              <w:bottom w:val="single" w:sz="8"/>
              <w:left w:val="nil"/>
              <w:right w:val="nil"/>
            </w:tcBorders>
          </w:tcPr>
          <w:p>
            <w:pPr>
              <w:spacing w:before="20" w:after="20"/>
              <w:jc w:val="center"/>
            </w:pPr>
            <w:r>
              <w:rPr>
                <w:rFonts w:ascii="Times New Roman" w:hAnsi="Times New Roman"/>
                <w:b w:val="0"/>
                <w:i w:val="0"/>
                <w:sz w:val="16"/>
              </w:rPr>
              <w:t>per-site coverage</w:t>
            </w:r>
          </w:p>
        </w:tc>
      </w:tr>
    </w:tbl>
    <w:p>
      <w:pPr>
        <w:keepNext w:val="0"/>
        <w:spacing w:before="0" w:after="0" w:line="240" w:lineRule="auto"/>
        <w:ind w:firstLine="245"/>
        <w:jc w:val="both"/>
      </w:pPr>
    </w:p>
    <w:p>
      <w:pPr>
        <w:keepNext/>
        <w:spacing w:before="160" w:after="80" w:line="240" w:lineRule="auto"/>
        <w:jc w:val="center"/>
      </w:pPr>
      <w:r>
        <w:rPr>
          <w:rFonts w:ascii="Times New Roman" w:hAnsi="Times New Roman"/>
          <w:b w:val="0"/>
          <w:i w:val="0"/>
          <w:sz w:val="19"/>
        </w:rPr>
        <w:t>VI. DISCUSSION</w:t>
      </w:r>
    </w:p>
    <w:p>
      <w:pPr>
        <w:keepNext w:val="0"/>
        <w:spacing w:before="0" w:after="40" w:line="240" w:lineRule="auto"/>
        <w:ind w:firstLine="245"/>
        <w:jc w:val="both"/>
      </w:pPr>
      <w:r>
        <w:rPr>
          <w:rFonts w:ascii="Times New Roman" w:hAnsi="Times New Roman"/>
          <w:b/>
          <w:i w:val="0"/>
          <w:sz w:val="20"/>
        </w:rPr>
        <w:t>A replicated disparity that is not an age artefact.</w:t>
      </w:r>
      <w:r>
        <w:rPr>
          <w:rFonts w:ascii="Times New Roman" w:hAnsi="Times New Roman"/>
          <w:b w:val="0"/>
          <w:i w:val="0"/>
          <w:sz w:val="20"/>
        </w:rPr>
        <w:t xml:space="preserve"> IOP's lower brain-age gap survives every age-handling choice we could construct, appears in independent splits and in cross-validation, and is present before fine-tuning. The usual first explanation of site differences in brain age, different age distributions </w:t>
      </w:r>
      <w:r>
        <w:rPr>
          <w:rFonts w:ascii="Times New Roman" w:hAnsi="Times New Roman"/>
          <w:b w:val="0"/>
          <w:i w:val="0"/>
          <w:sz w:val="20"/>
        </w:rPr>
        <w:t>[20]</w:t>
      </w:r>
      <w:r>
        <w:rPr>
          <w:rFonts w:ascii="Times New Roman" w:hAnsi="Times New Roman"/>
          <w:b w:val="0"/>
          <w:i w:val="0"/>
          <w:sz w:val="20"/>
        </w:rPr>
        <w:t>, does not account for it.</w:t>
      </w:r>
    </w:p>
    <w:p>
      <w:pPr>
        <w:keepNext w:val="0"/>
        <w:spacing w:before="0" w:after="40" w:line="240" w:lineRule="auto"/>
        <w:ind w:firstLine="245"/>
        <w:jc w:val="both"/>
      </w:pPr>
      <w:r>
        <w:rPr>
          <w:rFonts w:ascii="Times New Roman" w:hAnsi="Times New Roman"/>
          <w:b/>
          <w:i w:val="0"/>
          <w:sz w:val="20"/>
        </w:rPr>
        <w:t>Sensitive to acquisition, but the sensitivity is not the explanation.</w:t>
      </w:r>
      <w:r>
        <w:rPr>
          <w:rFonts w:ascii="Times New Roman" w:hAnsi="Times New Roman"/>
          <w:b w:val="0"/>
          <w:i w:val="0"/>
          <w:sz w:val="20"/>
        </w:rPr>
        <w:t xml:space="preserve"> The model is not acquisition-invariant: an unchanged HH brain given IOP's appearance loses almost four years. Yet the explanations we can measure—intensity profile, smoothness, head size, recorded cohort characteristics, and the site signature in the features—each leave the IOP offset in place. Two methodological lessons follow. First, references for intensity and erasure must be conditioned on age, because tissue contrast and the site–age confound carry age information: unconditioned versions overstated the intensity effect and made the offset seem to vanish. Second, removing a site signature is not the same as removing a site disparity. A study that had stopped at the stress test, or at plain erasure, would have reported “scanner bias”; the evidence here does not support that label.</w:t>
      </w:r>
    </w:p>
    <w:p>
      <w:pPr>
        <w:keepNext w:val="0"/>
        <w:spacing w:before="0" w:after="40" w:line="240" w:lineRule="auto"/>
        <w:ind w:firstLine="245"/>
        <w:jc w:val="both"/>
      </w:pPr>
      <w:r>
        <w:rPr>
          <w:rFonts w:ascii="Times New Roman" w:hAnsi="Times New Roman"/>
          <w:b/>
          <w:i w:val="0"/>
          <w:sz w:val="20"/>
        </w:rPr>
        <w:t>What remains.</w:t>
      </w:r>
      <w:r>
        <w:rPr>
          <w:rFonts w:ascii="Times New Roman" w:hAnsi="Times New Roman"/>
          <w:b w:val="0"/>
          <w:i w:val="0"/>
          <w:sz w:val="20"/>
        </w:rPr>
        <w:t xml:space="preserve"> The offset could stem from acquisition properties not modelled here (e.g., spatially varying contrast or vendor-specific reconstruction) or from cohort characteristics IXI does not record. Within IXI, site and cohort are confounded, so these cannot be separated; travelling-subject data would.</w:t>
      </w:r>
    </w:p>
    <w:p>
      <w:pPr>
        <w:keepNext w:val="0"/>
        <w:spacing w:before="0" w:after="40" w:line="240" w:lineRule="auto"/>
        <w:ind w:firstLine="245"/>
        <w:jc w:val="both"/>
      </w:pPr>
      <w:r>
        <w:rPr>
          <w:rFonts w:ascii="Times New Roman" w:hAnsi="Times New Roman"/>
          <w:b/>
          <w:i w:val="0"/>
          <w:sz w:val="20"/>
        </w:rPr>
        <w:t>Limitations.</w:t>
      </w:r>
      <w:r>
        <w:rPr>
          <w:rFonts w:ascii="Times New Roman" w:hAnsi="Times New Roman"/>
          <w:b w:val="0"/>
          <w:i w:val="0"/>
          <w:sz w:val="20"/>
        </w:rPr>
        <w:t xml:space="preserve"> IOP contributes 61 subjects in total. The cross-validated models fine-tune only the upper blocks, a lighter recipe than the main model. Quantile matching changes only the global intensity distribution, and Gaussian blur did not reproduce IOP's full sharpness profile. Attribution has 8 mm resolution, and deletion tests are themselves affected by distribution shift. We did not evaluate a classical feature-based baseline or a second dataset. Participants are healthy volunteers; no clinical conclusion follows.</w:t>
      </w:r>
    </w:p>
    <w:p>
      <w:pPr>
        <w:keepNext w:val="0"/>
        <w:spacing w:before="0" w:after="40" w:line="240" w:lineRule="auto"/>
        <w:ind w:firstLine="245"/>
        <w:jc w:val="both"/>
      </w:pPr>
      <w:r>
        <w:rPr>
          <w:rFonts w:ascii="Times New Roman" w:hAnsi="Times New Roman"/>
          <w:b/>
          <w:i w:val="0"/>
          <w:sz w:val="20"/>
        </w:rPr>
        <w:t>Future work.</w:t>
      </w:r>
      <w:r>
        <w:rPr>
          <w:rFonts w:ascii="Times New Roman" w:hAnsi="Times New Roman"/>
          <w:b w:val="0"/>
          <w:i w:val="0"/>
          <w:sz w:val="20"/>
        </w:rPr>
        <w:t xml:space="preserve"> Travelling-subject datasets, a FreeSurfer-feature baseline (if it shows the same offset, the cause lies in the images or cohort rather than a CNN shortcut), site-adversarial fine-tuning </w:t>
      </w:r>
      <w:r>
        <w:rPr>
          <w:rFonts w:ascii="Times New Roman" w:hAnsi="Times New Roman"/>
          <w:b w:val="0"/>
          <w:i w:val="0"/>
          <w:sz w:val="20"/>
        </w:rPr>
        <w:t>[19]</w:t>
      </w:r>
      <w:r>
        <w:rPr>
          <w:rFonts w:ascii="Times New Roman" w:hAnsi="Times New Roman"/>
          <w:b w:val="0"/>
          <w:i w:val="0"/>
          <w:sz w:val="20"/>
        </w:rPr>
        <w:t>, and passports for further models and datasets.</w:t>
      </w:r>
    </w:p>
    <w:p>
      <w:pPr>
        <w:keepNext/>
        <w:spacing w:before="160" w:after="80" w:line="240" w:lineRule="auto"/>
        <w:jc w:val="center"/>
      </w:pPr>
      <w:r>
        <w:rPr>
          <w:rFonts w:ascii="Times New Roman" w:hAnsi="Times New Roman"/>
          <w:b w:val="0"/>
          <w:i w:val="0"/>
          <w:sz w:val="19"/>
        </w:rPr>
        <w:t>VII. CONCLUSION</w:t>
      </w:r>
    </w:p>
    <w:p>
      <w:pPr>
        <w:keepNext w:val="0"/>
        <w:spacing w:before="0" w:after="40" w:line="240" w:lineRule="auto"/>
        <w:ind w:firstLine="245"/>
        <w:jc w:val="both"/>
      </w:pPr>
      <w:r>
        <w:rPr>
          <w:rFonts w:ascii="Times New Roman" w:hAnsi="Times New Roman"/>
          <w:b w:val="0"/>
          <w:i w:val="0"/>
          <w:sz w:val="20"/>
        </w:rPr>
        <w:t>A fine-tuned SFCN is accurate on IXI and its errors are equivalent between sexes, but it shows a replicated 4–5 year brain-age offset at one site. The offset is robust to how age is handled and exists before fine-tuning. The model is clearly sensitive to acquisition appearance, yet neither that sensitivity nor any measured acquisition or cohort property explains the offset. Site disparities in brain age should be tested, not labelled: a protocol of age-robust estimates, stress tests, age-conditional erasure and graded verdicts shows what can and cannot be concluded.</w:t>
      </w:r>
    </w:p>
    <w:p>
      <w:pPr>
        <w:keepNext/>
        <w:spacing w:before="160" w:after="80" w:line="240" w:lineRule="auto"/>
        <w:jc w:val="center"/>
      </w:pPr>
      <w:r>
        <w:rPr>
          <w:rFonts w:ascii="Times New Roman" w:hAnsi="Times New Roman"/>
          <w:b w:val="0"/>
          <w:i w:val="0"/>
          <w:sz w:val="19"/>
        </w:rPr>
        <w:t>CODE AND DATA AVAILABILITY</w:t>
      </w:r>
    </w:p>
    <w:p>
      <w:pPr>
        <w:keepNext w:val="0"/>
        <w:spacing w:before="0" w:after="40" w:line="240" w:lineRule="auto"/>
        <w:ind w:firstLine="245"/>
        <w:jc w:val="both"/>
      </w:pPr>
      <w:r>
        <w:rPr>
          <w:rFonts w:ascii="Times New Roman" w:hAnsi="Times New Roman"/>
          <w:b w:val="0"/>
          <w:i w:val="0"/>
          <w:sz w:val="20"/>
        </w:rPr>
        <w:t xml:space="preserve">Code, the split and exclusion lists, cross-validation folds, environment, passport criteria and generator, an interactive website and a live demo are at </w:t>
      </w:r>
      <w:r>
        <w:rPr>
          <w:rFonts w:ascii="Consolas" w:hAnsi="Consolas"/>
          <w:b w:val="0"/>
          <w:i w:val="0"/>
          <w:sz w:val="20"/>
        </w:rPr>
        <w:t>https://github.com/Jaaiwanth/brain-age-fairness-xai</w:t>
      </w:r>
      <w:r>
        <w:rPr>
          <w:rFonts w:ascii="Times New Roman" w:hAnsi="Times New Roman"/>
          <w:b w:val="0"/>
          <w:i w:val="0"/>
          <w:sz w:val="20"/>
        </w:rPr>
        <w:t xml:space="preserve">. IXI is available under CC BY-SA 3.0 </w:t>
      </w:r>
      <w:r>
        <w:rPr>
          <w:rFonts w:ascii="Times New Roman" w:hAnsi="Times New Roman"/>
          <w:b w:val="0"/>
          <w:i w:val="0"/>
          <w:sz w:val="20"/>
        </w:rPr>
        <w:t>[40]</w:t>
      </w:r>
      <w:r>
        <w:rPr>
          <w:rFonts w:ascii="Times New Roman" w:hAnsi="Times New Roman"/>
          <w:b w:val="0"/>
          <w:i w:val="0"/>
          <w:sz w:val="20"/>
        </w:rPr>
        <w:t>.</w:t>
      </w:r>
    </w:p>
    <w:p>
      <w:pPr>
        <w:keepNext/>
        <w:spacing w:before="160" w:after="80" w:line="240" w:lineRule="auto"/>
        <w:jc w:val="center"/>
      </w:pPr>
      <w:r>
        <w:rPr>
          <w:rFonts w:ascii="Times New Roman" w:hAnsi="Times New Roman"/>
          <w:b w:val="0"/>
          <w:i w:val="0"/>
          <w:sz w:val="19"/>
        </w:rPr>
        <w:t>AUTHOR CONTRIBUTIONS</w:t>
      </w:r>
    </w:p>
    <w:p>
      <w:pPr>
        <w:keepNext w:val="0"/>
        <w:spacing w:before="0" w:after="40" w:line="240" w:lineRule="auto"/>
        <w:ind w:firstLine="245"/>
        <w:jc w:val="both"/>
      </w:pPr>
      <w:r>
        <w:rPr>
          <w:rFonts w:ascii="Times New Roman" w:hAnsi="Times New Roman"/>
          <w:b w:val="0"/>
          <w:i w:val="0"/>
          <w:sz w:val="20"/>
        </w:rPr>
        <w:t>Adharshan N and Jaaiwanth K contributed equally: both designed the study, verified the labels, built the preprocessing and fine-tuning pipelines (including the independent SFCN and DeepBrainNet replication), performed the analyses, built the website, demo and passport, and wrote the manuscript. Shridevi S supervised the project and reviewed the manuscript.</w:t>
      </w:r>
    </w:p>
    <w:p>
      <w:pPr>
        <w:keepNext/>
        <w:spacing w:before="160" w:after="80" w:line="240" w:lineRule="auto"/>
        <w:jc w:val="center"/>
      </w:pPr>
      <w:r>
        <w:rPr>
          <w:rFonts w:ascii="Times New Roman" w:hAnsi="Times New Roman"/>
          <w:b w:val="0"/>
          <w:i w:val="0"/>
          <w:sz w:val="19"/>
        </w:rPr>
        <w:t>ACKNOWLEDGMENT</w:t>
      </w:r>
    </w:p>
    <w:p>
      <w:pPr>
        <w:keepNext w:val="0"/>
        <w:spacing w:before="0" w:after="40" w:line="240" w:lineRule="auto"/>
        <w:ind w:firstLine="245"/>
        <w:jc w:val="both"/>
      </w:pPr>
      <w:r>
        <w:rPr>
          <w:rFonts w:ascii="Times New Roman" w:hAnsi="Times New Roman"/>
          <w:b w:val="0"/>
          <w:i w:val="0"/>
          <w:sz w:val="20"/>
        </w:rPr>
        <w:t>We thank the IXI project for the data and the SFCN authors for releasing their pretrained weights.</w:t>
      </w:r>
    </w:p>
    <w:p>
      <w:pPr>
        <w:keepNext/>
        <w:spacing w:before="160" w:after="80" w:line="240" w:lineRule="auto"/>
        <w:jc w:val="center"/>
      </w:pPr>
      <w:r>
        <w:rPr>
          <w:rFonts w:ascii="Times New Roman" w:hAnsi="Times New Roman"/>
          <w:b w:val="0"/>
          <w:i w:val="0"/>
          <w:sz w:val="19"/>
        </w:rPr>
        <w:t>REFERENCES</w:t>
      </w:r>
    </w:p>
    <w:p>
      <w:pPr>
        <w:keepNext w:val="0"/>
        <w:tabs>
          <w:tab w:pos="432" w:val="left"/>
        </w:tabs>
        <w:spacing w:before="0" w:after="20" w:line="240" w:lineRule="auto"/>
        <w:ind w:left="432" w:hanging="432"/>
        <w:jc w:val="both"/>
      </w:pPr>
      <w:r>
        <w:rPr>
          <w:rFonts w:ascii="Times New Roman" w:hAnsi="Times New Roman"/>
          <w:b w:val="0"/>
          <w:i w:val="0"/>
          <w:sz w:val="16"/>
        </w:rPr>
        <w:t>[1]</w:t>
        <w:tab/>
      </w:r>
      <w:r>
        <w:rPr>
          <w:rFonts w:ascii="Times New Roman" w:hAnsi="Times New Roman"/>
          <w:b w:val="0"/>
          <w:i w:val="0"/>
          <w:sz w:val="16"/>
        </w:rPr>
        <w:t xml:space="preserve">J. H. Cole and K. Franke, “Predicting age using neuroimaging: innovative brain ageing biomarkers,” </w:t>
      </w:r>
      <w:r>
        <w:rPr>
          <w:rFonts w:ascii="Times New Roman" w:hAnsi="Times New Roman"/>
          <w:b w:val="0"/>
          <w:i/>
          <w:sz w:val="16"/>
        </w:rPr>
        <w:t>Trends in Neurosciences</w:t>
      </w:r>
      <w:r>
        <w:rPr>
          <w:rFonts w:ascii="Times New Roman" w:hAnsi="Times New Roman"/>
          <w:b w:val="0"/>
          <w:i w:val="0"/>
          <w:sz w:val="16"/>
        </w:rPr>
        <w:t>, vol. 40, no. 12, pp. 681–690, 2017.</w:t>
      </w:r>
    </w:p>
    <w:p>
      <w:pPr>
        <w:keepNext w:val="0"/>
        <w:tabs>
          <w:tab w:pos="432" w:val="left"/>
        </w:tabs>
        <w:spacing w:before="0" w:after="20" w:line="240" w:lineRule="auto"/>
        <w:ind w:left="432" w:hanging="432"/>
        <w:jc w:val="both"/>
      </w:pPr>
      <w:r>
        <w:rPr>
          <w:rFonts w:ascii="Times New Roman" w:hAnsi="Times New Roman"/>
          <w:b w:val="0"/>
          <w:i w:val="0"/>
          <w:sz w:val="16"/>
        </w:rPr>
        <w:t>[2]</w:t>
        <w:tab/>
      </w:r>
      <w:r>
        <w:rPr>
          <w:rFonts w:ascii="Times New Roman" w:hAnsi="Times New Roman"/>
          <w:b w:val="0"/>
          <w:i w:val="0"/>
          <w:sz w:val="16"/>
        </w:rPr>
        <w:t xml:space="preserve">K. Franke and C. Gaser, “Ten years of BrainAGE as a neuroimaging biomarker of brain aging: what insights have we gained?,” </w:t>
      </w:r>
      <w:r>
        <w:rPr>
          <w:rFonts w:ascii="Times New Roman" w:hAnsi="Times New Roman"/>
          <w:b w:val="0"/>
          <w:i/>
          <w:sz w:val="16"/>
        </w:rPr>
        <w:t>Frontiers in Neurology</w:t>
      </w:r>
      <w:r>
        <w:rPr>
          <w:rFonts w:ascii="Times New Roman" w:hAnsi="Times New Roman"/>
          <w:b w:val="0"/>
          <w:i w:val="0"/>
          <w:sz w:val="16"/>
        </w:rPr>
        <w:t>, vol. 10, Art. no. 789, 2019.</w:t>
      </w:r>
    </w:p>
    <w:p>
      <w:pPr>
        <w:keepNext w:val="0"/>
        <w:tabs>
          <w:tab w:pos="432" w:val="left"/>
        </w:tabs>
        <w:spacing w:before="0" w:after="20" w:line="240" w:lineRule="auto"/>
        <w:ind w:left="432" w:hanging="432"/>
        <w:jc w:val="both"/>
      </w:pPr>
      <w:r>
        <w:rPr>
          <w:rFonts w:ascii="Times New Roman" w:hAnsi="Times New Roman"/>
          <w:b w:val="0"/>
          <w:i w:val="0"/>
          <w:sz w:val="16"/>
        </w:rPr>
        <w:t>[3]</w:t>
        <w:tab/>
      </w:r>
      <w:r>
        <w:rPr>
          <w:rFonts w:ascii="Times New Roman" w:hAnsi="Times New Roman"/>
          <w:b w:val="0"/>
          <w:i w:val="0"/>
          <w:sz w:val="16"/>
        </w:rPr>
        <w:t xml:space="preserve">J. H. Cole, S. J. Ritchie, M. E. Bastin et al., “Brain age predicts mortality,” </w:t>
      </w:r>
      <w:r>
        <w:rPr>
          <w:rFonts w:ascii="Times New Roman" w:hAnsi="Times New Roman"/>
          <w:b w:val="0"/>
          <w:i/>
          <w:sz w:val="16"/>
        </w:rPr>
        <w:t>Molecular Psychiatry</w:t>
      </w:r>
      <w:r>
        <w:rPr>
          <w:rFonts w:ascii="Times New Roman" w:hAnsi="Times New Roman"/>
          <w:b w:val="0"/>
          <w:i w:val="0"/>
          <w:sz w:val="16"/>
        </w:rPr>
        <w:t>, vol. 23, pp. 1385–1392, 2018.</w:t>
      </w:r>
    </w:p>
    <w:p>
      <w:pPr>
        <w:keepNext w:val="0"/>
        <w:tabs>
          <w:tab w:pos="432" w:val="left"/>
        </w:tabs>
        <w:spacing w:before="0" w:after="20" w:line="240" w:lineRule="auto"/>
        <w:ind w:left="432" w:hanging="432"/>
        <w:jc w:val="both"/>
      </w:pPr>
      <w:r>
        <w:rPr>
          <w:rFonts w:ascii="Times New Roman" w:hAnsi="Times New Roman"/>
          <w:b w:val="0"/>
          <w:i w:val="0"/>
          <w:sz w:val="16"/>
        </w:rPr>
        <w:t>[4]</w:t>
        <w:tab/>
      </w:r>
      <w:r>
        <w:rPr>
          <w:rFonts w:ascii="Times New Roman" w:hAnsi="Times New Roman"/>
          <w:b w:val="0"/>
          <w:i w:val="0"/>
          <w:sz w:val="16"/>
        </w:rPr>
        <w:t xml:space="preserve">J. H. Cole, R. P. K. Poudel, D. Tsagkrasoulis et al., “Predicting brain age with deep learning from raw imaging data results in a reliable and heritable biomarker,” </w:t>
      </w:r>
      <w:r>
        <w:rPr>
          <w:rFonts w:ascii="Times New Roman" w:hAnsi="Times New Roman"/>
          <w:b w:val="0"/>
          <w:i/>
          <w:sz w:val="16"/>
        </w:rPr>
        <w:t>NeuroImage</w:t>
      </w:r>
      <w:r>
        <w:rPr>
          <w:rFonts w:ascii="Times New Roman" w:hAnsi="Times New Roman"/>
          <w:b w:val="0"/>
          <w:i w:val="0"/>
          <w:sz w:val="16"/>
        </w:rPr>
        <w:t>, vol. 163, pp. 115–124, 2017.</w:t>
      </w:r>
    </w:p>
    <w:p>
      <w:pPr>
        <w:keepNext w:val="0"/>
        <w:tabs>
          <w:tab w:pos="432" w:val="left"/>
        </w:tabs>
        <w:spacing w:before="0" w:after="20" w:line="240" w:lineRule="auto"/>
        <w:ind w:left="432" w:hanging="432"/>
        <w:jc w:val="both"/>
      </w:pPr>
      <w:r>
        <w:rPr>
          <w:rFonts w:ascii="Times New Roman" w:hAnsi="Times New Roman"/>
          <w:b w:val="0"/>
          <w:i w:val="0"/>
          <w:sz w:val="16"/>
        </w:rPr>
        <w:t>[5]</w:t>
        <w:tab/>
      </w:r>
      <w:r>
        <w:rPr>
          <w:rFonts w:ascii="Times New Roman" w:hAnsi="Times New Roman"/>
          <w:b w:val="0"/>
          <w:i w:val="0"/>
          <w:sz w:val="16"/>
        </w:rPr>
        <w:t xml:space="preserve">H. Peng, W. Gong, C. F. Beckmann, A. Vedaldi, and S. M. Smith, “Accurate brain age prediction with lightweight deep neural networks,” </w:t>
      </w:r>
      <w:r>
        <w:rPr>
          <w:rFonts w:ascii="Times New Roman" w:hAnsi="Times New Roman"/>
          <w:b w:val="0"/>
          <w:i/>
          <w:sz w:val="16"/>
        </w:rPr>
        <w:t>Medical Image Analysis</w:t>
      </w:r>
      <w:r>
        <w:rPr>
          <w:rFonts w:ascii="Times New Roman" w:hAnsi="Times New Roman"/>
          <w:b w:val="0"/>
          <w:i w:val="0"/>
          <w:sz w:val="16"/>
        </w:rPr>
        <w:t>, vol. 68, Art. no. 101871, 2021.</w:t>
      </w:r>
    </w:p>
    <w:p>
      <w:pPr>
        <w:keepNext w:val="0"/>
        <w:tabs>
          <w:tab w:pos="432" w:val="left"/>
        </w:tabs>
        <w:spacing w:before="0" w:after="20" w:line="240" w:lineRule="auto"/>
        <w:ind w:left="432" w:hanging="432"/>
        <w:jc w:val="both"/>
      </w:pPr>
      <w:r>
        <w:rPr>
          <w:rFonts w:ascii="Times New Roman" w:hAnsi="Times New Roman"/>
          <w:b w:val="0"/>
          <w:i w:val="0"/>
          <w:sz w:val="16"/>
        </w:rPr>
        <w:t>[6]</w:t>
        <w:tab/>
      </w:r>
      <w:r>
        <w:rPr>
          <w:rFonts w:ascii="Times New Roman" w:hAnsi="Times New Roman"/>
          <w:b w:val="0"/>
          <w:i w:val="0"/>
          <w:sz w:val="16"/>
        </w:rPr>
        <w:t xml:space="preserve">V. M. Bashyam, G. Erus, J. Doshi et al., “MRI signatures of brain age and disease over the lifespan based on a deep brain network and 14 468 individuals worldwide,” </w:t>
      </w:r>
      <w:r>
        <w:rPr>
          <w:rFonts w:ascii="Times New Roman" w:hAnsi="Times New Roman"/>
          <w:b w:val="0"/>
          <w:i/>
          <w:sz w:val="16"/>
        </w:rPr>
        <w:t>Brain</w:t>
      </w:r>
      <w:r>
        <w:rPr>
          <w:rFonts w:ascii="Times New Roman" w:hAnsi="Times New Roman"/>
          <w:b w:val="0"/>
          <w:i w:val="0"/>
          <w:sz w:val="16"/>
        </w:rPr>
        <w:t>, vol. 143, no. 7, pp. 2312–2324, 2020.</w:t>
      </w:r>
    </w:p>
    <w:p>
      <w:pPr>
        <w:keepNext w:val="0"/>
        <w:tabs>
          <w:tab w:pos="432" w:val="left"/>
        </w:tabs>
        <w:spacing w:before="0" w:after="20" w:line="240" w:lineRule="auto"/>
        <w:ind w:left="432" w:hanging="432"/>
        <w:jc w:val="both"/>
      </w:pPr>
      <w:r>
        <w:rPr>
          <w:rFonts w:ascii="Times New Roman" w:hAnsi="Times New Roman"/>
          <w:b w:val="0"/>
          <w:i w:val="0"/>
          <w:sz w:val="16"/>
        </w:rPr>
        <w:t>[7]</w:t>
        <w:tab/>
      </w:r>
      <w:r>
        <w:rPr>
          <w:rFonts w:ascii="Times New Roman" w:hAnsi="Times New Roman"/>
          <w:b w:val="0"/>
          <w:i w:val="0"/>
          <w:sz w:val="16"/>
        </w:rPr>
        <w:t xml:space="preserve">E. H. Leonardsen, H. Peng, T. Kaufmann et al., “Deep neural networks learn general and clinically relevant representations of the ageing brain,” </w:t>
      </w:r>
      <w:r>
        <w:rPr>
          <w:rFonts w:ascii="Times New Roman" w:hAnsi="Times New Roman"/>
          <w:b w:val="0"/>
          <w:i/>
          <w:sz w:val="16"/>
        </w:rPr>
        <w:t>NeuroImage</w:t>
      </w:r>
      <w:r>
        <w:rPr>
          <w:rFonts w:ascii="Times New Roman" w:hAnsi="Times New Roman"/>
          <w:b w:val="0"/>
          <w:i w:val="0"/>
          <w:sz w:val="16"/>
        </w:rPr>
        <w:t>, vol. 256, Art. no. 119210, 2022.</w:t>
      </w:r>
    </w:p>
    <w:p>
      <w:pPr>
        <w:keepNext w:val="0"/>
        <w:tabs>
          <w:tab w:pos="432" w:val="left"/>
        </w:tabs>
        <w:spacing w:before="0" w:after="20" w:line="240" w:lineRule="auto"/>
        <w:ind w:left="432" w:hanging="432"/>
        <w:jc w:val="both"/>
      </w:pPr>
      <w:r>
        <w:rPr>
          <w:rFonts w:ascii="Times New Roman" w:hAnsi="Times New Roman"/>
          <w:b w:val="0"/>
          <w:i w:val="0"/>
          <w:sz w:val="16"/>
        </w:rPr>
        <w:t>[8]</w:t>
        <w:tab/>
      </w:r>
      <w:r>
        <w:rPr>
          <w:rFonts w:ascii="Times New Roman" w:hAnsi="Times New Roman"/>
          <w:b w:val="0"/>
          <w:i w:val="0"/>
          <w:sz w:val="16"/>
        </w:rPr>
        <w:t xml:space="preserve">A. J. Larrazabal, N. Nieto, V. Peterson, D. H. Milone, and E. Ferrante, “Gender imbalance in medical imaging datasets produces biased classifiers for computer-aided diagnosis,” </w:t>
      </w:r>
      <w:r>
        <w:rPr>
          <w:rFonts w:ascii="Times New Roman" w:hAnsi="Times New Roman"/>
          <w:b w:val="0"/>
          <w:i/>
          <w:sz w:val="16"/>
        </w:rPr>
        <w:t>Proceedings of the National Academy of Sciences</w:t>
      </w:r>
      <w:r>
        <w:rPr>
          <w:rFonts w:ascii="Times New Roman" w:hAnsi="Times New Roman"/>
          <w:b w:val="0"/>
          <w:i w:val="0"/>
          <w:sz w:val="16"/>
        </w:rPr>
        <w:t>, vol. 117, no. 23, pp. 12592–12594, 2020.</w:t>
      </w:r>
    </w:p>
    <w:p>
      <w:pPr>
        <w:keepNext w:val="0"/>
        <w:tabs>
          <w:tab w:pos="432" w:val="left"/>
        </w:tabs>
        <w:spacing w:before="0" w:after="20" w:line="240" w:lineRule="auto"/>
        <w:ind w:left="432" w:hanging="432"/>
        <w:jc w:val="both"/>
      </w:pPr>
      <w:r>
        <w:rPr>
          <w:rFonts w:ascii="Times New Roman" w:hAnsi="Times New Roman"/>
          <w:b w:val="0"/>
          <w:i w:val="0"/>
          <w:sz w:val="16"/>
        </w:rPr>
        <w:t>[9]</w:t>
        <w:tab/>
      </w:r>
      <w:r>
        <w:rPr>
          <w:rFonts w:ascii="Times New Roman" w:hAnsi="Times New Roman"/>
          <w:b w:val="0"/>
          <w:i w:val="0"/>
          <w:sz w:val="16"/>
        </w:rPr>
        <w:t xml:space="preserve">L. Seyyed-Kalantari, H. Zhang, M. B. A. McDermott, I. Y. Chen, and M. Ghassemi, “Underdiagnosis bias of artificial intelligence algorithms applied to chest radiographs in under-served patient populations,” </w:t>
      </w:r>
      <w:r>
        <w:rPr>
          <w:rFonts w:ascii="Times New Roman" w:hAnsi="Times New Roman"/>
          <w:b w:val="0"/>
          <w:i/>
          <w:sz w:val="16"/>
        </w:rPr>
        <w:t>Nature Medicine</w:t>
      </w:r>
      <w:r>
        <w:rPr>
          <w:rFonts w:ascii="Times New Roman" w:hAnsi="Times New Roman"/>
          <w:b w:val="0"/>
          <w:i w:val="0"/>
          <w:sz w:val="16"/>
        </w:rPr>
        <w:t>, vol. 27, pp. 2176–2182, 2021.</w:t>
      </w:r>
    </w:p>
    <w:p>
      <w:pPr>
        <w:keepNext w:val="0"/>
        <w:tabs>
          <w:tab w:pos="432" w:val="left"/>
        </w:tabs>
        <w:spacing w:before="0" w:after="20" w:line="240" w:lineRule="auto"/>
        <w:ind w:left="432" w:hanging="432"/>
        <w:jc w:val="both"/>
      </w:pPr>
      <w:r>
        <w:rPr>
          <w:rFonts w:ascii="Times New Roman" w:hAnsi="Times New Roman"/>
          <w:b w:val="0"/>
          <w:i w:val="0"/>
          <w:sz w:val="16"/>
        </w:rPr>
        <w:t>[10]</w:t>
        <w:tab/>
      </w:r>
      <w:r>
        <w:rPr>
          <w:rFonts w:ascii="Times New Roman" w:hAnsi="Times New Roman"/>
          <w:b w:val="0"/>
          <w:i w:val="0"/>
          <w:sz w:val="16"/>
        </w:rPr>
        <w:t xml:space="preserve">M. A. Ricci Lara, R. Echeveste, and E. Ferrante, “Addressing fairness in artificial intelligence for medical imaging,” </w:t>
      </w:r>
      <w:r>
        <w:rPr>
          <w:rFonts w:ascii="Times New Roman" w:hAnsi="Times New Roman"/>
          <w:b w:val="0"/>
          <w:i/>
          <w:sz w:val="16"/>
        </w:rPr>
        <w:t>Nature Communications</w:t>
      </w:r>
      <w:r>
        <w:rPr>
          <w:rFonts w:ascii="Times New Roman" w:hAnsi="Times New Roman"/>
          <w:b w:val="0"/>
          <w:i w:val="0"/>
          <w:sz w:val="16"/>
        </w:rPr>
        <w:t>, vol. 13, Art. no. 4581, 2022.</w:t>
      </w:r>
    </w:p>
    <w:p>
      <w:pPr>
        <w:keepNext w:val="0"/>
        <w:tabs>
          <w:tab w:pos="432" w:val="left"/>
        </w:tabs>
        <w:spacing w:before="0" w:after="20" w:line="240" w:lineRule="auto"/>
        <w:ind w:left="432" w:hanging="432"/>
        <w:jc w:val="both"/>
      </w:pPr>
      <w:r>
        <w:rPr>
          <w:rFonts w:ascii="Times New Roman" w:hAnsi="Times New Roman"/>
          <w:b w:val="0"/>
          <w:i w:val="0"/>
          <w:sz w:val="16"/>
        </w:rPr>
        <w:t>[11]</w:t>
        <w:tab/>
      </w:r>
      <w:r>
        <w:rPr>
          <w:rFonts w:ascii="Times New Roman" w:hAnsi="Times New Roman"/>
          <w:b w:val="0"/>
          <w:i w:val="0"/>
          <w:sz w:val="16"/>
        </w:rPr>
        <w:t xml:space="preserve">C. Piçarra and B. Glocker, “Analysing race and sex bias in brain age prediction,” </w:t>
      </w:r>
      <w:r>
        <w:rPr>
          <w:rFonts w:ascii="Times New Roman" w:hAnsi="Times New Roman"/>
          <w:b w:val="0"/>
          <w:i w:val="0"/>
          <w:sz w:val="16"/>
        </w:rPr>
        <w:t>arXiv preprint arXiv:2309.10835, 2023.</w:t>
      </w:r>
    </w:p>
    <w:p>
      <w:pPr>
        <w:keepNext w:val="0"/>
        <w:tabs>
          <w:tab w:pos="432" w:val="left"/>
        </w:tabs>
        <w:spacing w:before="0" w:after="20" w:line="240" w:lineRule="auto"/>
        <w:ind w:left="432" w:hanging="432"/>
        <w:jc w:val="both"/>
      </w:pPr>
      <w:r>
        <w:rPr>
          <w:rFonts w:ascii="Times New Roman" w:hAnsi="Times New Roman"/>
          <w:b w:val="0"/>
          <w:i w:val="0"/>
          <w:sz w:val="16"/>
        </w:rPr>
        <w:t>[12]</w:t>
        <w:tab/>
      </w:r>
      <w:r>
        <w:rPr>
          <w:rFonts w:ascii="Times New Roman" w:hAnsi="Times New Roman"/>
          <w:b w:val="0"/>
          <w:i w:val="0"/>
          <w:sz w:val="16"/>
        </w:rPr>
        <w:t xml:space="preserve">R. Geirhos, J. Jacobsen, C. Michaelis et al., “Shortcut learning in deep neural networks,” </w:t>
      </w:r>
      <w:r>
        <w:rPr>
          <w:rFonts w:ascii="Times New Roman" w:hAnsi="Times New Roman"/>
          <w:b w:val="0"/>
          <w:i/>
          <w:sz w:val="16"/>
        </w:rPr>
        <w:t>Nature Machine Intelligence</w:t>
      </w:r>
      <w:r>
        <w:rPr>
          <w:rFonts w:ascii="Times New Roman" w:hAnsi="Times New Roman"/>
          <w:b w:val="0"/>
          <w:i w:val="0"/>
          <w:sz w:val="16"/>
        </w:rPr>
        <w:t>, vol. 2, pp. 665–673, 2020.</w:t>
      </w:r>
    </w:p>
    <w:p>
      <w:pPr>
        <w:keepNext w:val="0"/>
        <w:tabs>
          <w:tab w:pos="432" w:val="left"/>
        </w:tabs>
        <w:spacing w:before="0" w:after="20" w:line="240" w:lineRule="auto"/>
        <w:ind w:left="432" w:hanging="432"/>
        <w:jc w:val="both"/>
      </w:pPr>
      <w:r>
        <w:rPr>
          <w:rFonts w:ascii="Times New Roman" w:hAnsi="Times New Roman"/>
          <w:b w:val="0"/>
          <w:i w:val="0"/>
          <w:sz w:val="16"/>
        </w:rPr>
        <w:t>[13]</w:t>
        <w:tab/>
      </w:r>
      <w:r>
        <w:rPr>
          <w:rFonts w:ascii="Times New Roman" w:hAnsi="Times New Roman"/>
          <w:b w:val="0"/>
          <w:i w:val="0"/>
          <w:sz w:val="16"/>
        </w:rPr>
        <w:t xml:space="preserve">J. R. Zech, M. A. Badgeley, M. Liu, A. B. Costa, J. J. Titano, and E. K. Oermann, “Variable generalization performance of a deep learning model to detect pneumonia in chest radiographs: a cross-sectional study,” </w:t>
      </w:r>
      <w:r>
        <w:rPr>
          <w:rFonts w:ascii="Times New Roman" w:hAnsi="Times New Roman"/>
          <w:b w:val="0"/>
          <w:i/>
          <w:sz w:val="16"/>
        </w:rPr>
        <w:t>PLoS Medicine</w:t>
      </w:r>
      <w:r>
        <w:rPr>
          <w:rFonts w:ascii="Times New Roman" w:hAnsi="Times New Roman"/>
          <w:b w:val="0"/>
          <w:i w:val="0"/>
          <w:sz w:val="16"/>
        </w:rPr>
        <w:t>, vol. 15, no. 11, Art. no. e1002683, 2018.</w:t>
      </w:r>
    </w:p>
    <w:p>
      <w:pPr>
        <w:keepNext w:val="0"/>
        <w:tabs>
          <w:tab w:pos="432" w:val="left"/>
        </w:tabs>
        <w:spacing w:before="0" w:after="20" w:line="240" w:lineRule="auto"/>
        <w:ind w:left="432" w:hanging="432"/>
        <w:jc w:val="both"/>
      </w:pPr>
      <w:r>
        <w:rPr>
          <w:rFonts w:ascii="Times New Roman" w:hAnsi="Times New Roman"/>
          <w:b w:val="0"/>
          <w:i w:val="0"/>
          <w:sz w:val="16"/>
        </w:rPr>
        <w:t>[14]</w:t>
        <w:tab/>
      </w:r>
      <w:r>
        <w:rPr>
          <w:rFonts w:ascii="Times New Roman" w:hAnsi="Times New Roman"/>
          <w:b w:val="0"/>
          <w:i w:val="0"/>
          <w:sz w:val="16"/>
        </w:rPr>
        <w:t xml:space="preserve">A. J. DeGrave, J. D. Janizek, and S. Lee, “AI for radiographic COVID-19 detection selects shortcuts over signal,” </w:t>
      </w:r>
      <w:r>
        <w:rPr>
          <w:rFonts w:ascii="Times New Roman" w:hAnsi="Times New Roman"/>
          <w:b w:val="0"/>
          <w:i/>
          <w:sz w:val="16"/>
        </w:rPr>
        <w:t>Nature Machine Intelligence</w:t>
      </w:r>
      <w:r>
        <w:rPr>
          <w:rFonts w:ascii="Times New Roman" w:hAnsi="Times New Roman"/>
          <w:b w:val="0"/>
          <w:i w:val="0"/>
          <w:sz w:val="16"/>
        </w:rPr>
        <w:t>, vol. 3, pp. 610–619, 2021.</w:t>
      </w:r>
    </w:p>
    <w:p>
      <w:pPr>
        <w:keepNext w:val="0"/>
        <w:tabs>
          <w:tab w:pos="432" w:val="left"/>
        </w:tabs>
        <w:spacing w:before="0" w:after="20" w:line="240" w:lineRule="auto"/>
        <w:ind w:left="432" w:hanging="432"/>
        <w:jc w:val="both"/>
      </w:pPr>
      <w:r>
        <w:rPr>
          <w:rFonts w:ascii="Times New Roman" w:hAnsi="Times New Roman"/>
          <w:b w:val="0"/>
          <w:i w:val="0"/>
          <w:sz w:val="16"/>
        </w:rPr>
        <w:t>[15]</w:t>
        <w:tab/>
      </w:r>
      <w:r>
        <w:rPr>
          <w:rFonts w:ascii="Times New Roman" w:hAnsi="Times New Roman"/>
          <w:b w:val="0"/>
          <w:i w:val="0"/>
          <w:sz w:val="16"/>
        </w:rPr>
        <w:t xml:space="preserve">J. Adebayo, J. Gilmer, M. Muelly, I. Goodfellow, M. Hardt, and B. Kim, “Sanity checks for saliency maps,” </w:t>
      </w:r>
      <w:r>
        <w:rPr>
          <w:rFonts w:ascii="Times New Roman" w:hAnsi="Times New Roman"/>
          <w:b w:val="0"/>
          <w:i w:val="0"/>
          <w:sz w:val="16"/>
        </w:rPr>
        <w:t xml:space="preserve">in </w:t>
      </w:r>
      <w:r>
        <w:rPr>
          <w:rFonts w:ascii="Times New Roman" w:hAnsi="Times New Roman"/>
          <w:b w:val="0"/>
          <w:i/>
          <w:sz w:val="16"/>
        </w:rPr>
        <w:t>Advances in Neural Information Processing Systems (NeurIPS)</w:t>
      </w:r>
      <w:r>
        <w:rPr>
          <w:rFonts w:ascii="Times New Roman" w:hAnsi="Times New Roman"/>
          <w:b w:val="0"/>
          <w:i w:val="0"/>
          <w:sz w:val="16"/>
        </w:rPr>
        <w:t>, vol. 31, 2018.</w:t>
      </w:r>
    </w:p>
    <w:p>
      <w:pPr>
        <w:keepNext w:val="0"/>
        <w:tabs>
          <w:tab w:pos="432" w:val="left"/>
        </w:tabs>
        <w:spacing w:before="0" w:after="20" w:line="240" w:lineRule="auto"/>
        <w:ind w:left="432" w:hanging="432"/>
        <w:jc w:val="both"/>
      </w:pPr>
      <w:r>
        <w:rPr>
          <w:rFonts w:ascii="Times New Roman" w:hAnsi="Times New Roman"/>
          <w:b w:val="0"/>
          <w:i w:val="0"/>
          <w:sz w:val="16"/>
        </w:rPr>
        <w:t>[16]</w:t>
        <w:tab/>
      </w:r>
      <w:r>
        <w:rPr>
          <w:rFonts w:ascii="Times New Roman" w:hAnsi="Times New Roman"/>
          <w:b w:val="0"/>
          <w:i w:val="0"/>
          <w:sz w:val="16"/>
        </w:rPr>
        <w:t xml:space="preserve">S. Hooker, D. Erhan, P. Kindermans, and B. Kim, “A benchmark for interpretability methods in deep neural networks,” </w:t>
      </w:r>
      <w:r>
        <w:rPr>
          <w:rFonts w:ascii="Times New Roman" w:hAnsi="Times New Roman"/>
          <w:b w:val="0"/>
          <w:i w:val="0"/>
          <w:sz w:val="16"/>
        </w:rPr>
        <w:t xml:space="preserve">in </w:t>
      </w:r>
      <w:r>
        <w:rPr>
          <w:rFonts w:ascii="Times New Roman" w:hAnsi="Times New Roman"/>
          <w:b w:val="0"/>
          <w:i/>
          <w:sz w:val="16"/>
        </w:rPr>
        <w:t>Advances in Neural Information Processing Systems (NeurIPS)</w:t>
      </w:r>
      <w:r>
        <w:rPr>
          <w:rFonts w:ascii="Times New Roman" w:hAnsi="Times New Roman"/>
          <w:b w:val="0"/>
          <w:i w:val="0"/>
          <w:sz w:val="16"/>
        </w:rPr>
        <w:t>, vol. 32, 2019.</w:t>
      </w:r>
    </w:p>
    <w:p>
      <w:pPr>
        <w:keepNext w:val="0"/>
        <w:tabs>
          <w:tab w:pos="432" w:val="left"/>
        </w:tabs>
        <w:spacing w:before="0" w:after="20" w:line="240" w:lineRule="auto"/>
        <w:ind w:left="432" w:hanging="432"/>
        <w:jc w:val="both"/>
      </w:pPr>
      <w:r>
        <w:rPr>
          <w:rFonts w:ascii="Times New Roman" w:hAnsi="Times New Roman"/>
          <w:b w:val="0"/>
          <w:i w:val="0"/>
          <w:sz w:val="16"/>
        </w:rPr>
        <w:t>[17]</w:t>
        <w:tab/>
      </w:r>
      <w:r>
        <w:rPr>
          <w:rFonts w:ascii="Times New Roman" w:hAnsi="Times New Roman"/>
          <w:b w:val="0"/>
          <w:i w:val="0"/>
          <w:sz w:val="16"/>
        </w:rPr>
        <w:t xml:space="preserve">B. Glocker, R. Robinson, D. C. Castro, Q. Dou, and E. Konukoglu, “Machine learning with multi-site imaging data: an empirical study on the impact of scanner effects,” </w:t>
      </w:r>
      <w:r>
        <w:rPr>
          <w:rFonts w:ascii="Times New Roman" w:hAnsi="Times New Roman"/>
          <w:b w:val="0"/>
          <w:i w:val="0"/>
          <w:sz w:val="16"/>
        </w:rPr>
        <w:t>arXiv preprint arXiv:1910.04597, 2019.</w:t>
      </w:r>
    </w:p>
    <w:p>
      <w:pPr>
        <w:keepNext w:val="0"/>
        <w:tabs>
          <w:tab w:pos="432" w:val="left"/>
        </w:tabs>
        <w:spacing w:before="0" w:after="20" w:line="240" w:lineRule="auto"/>
        <w:ind w:left="432" w:hanging="432"/>
        <w:jc w:val="both"/>
      </w:pPr>
      <w:r>
        <w:rPr>
          <w:rFonts w:ascii="Times New Roman" w:hAnsi="Times New Roman"/>
          <w:b w:val="0"/>
          <w:i w:val="0"/>
          <w:sz w:val="16"/>
        </w:rPr>
        <w:t>[18]</w:t>
        <w:tab/>
      </w:r>
      <w:r>
        <w:rPr>
          <w:rFonts w:ascii="Times New Roman" w:hAnsi="Times New Roman"/>
          <w:b w:val="0"/>
          <w:i w:val="0"/>
          <w:sz w:val="16"/>
        </w:rPr>
        <w:t xml:space="preserve">J. Fortin, N. Cullen, Y. I. Sheline et al., “Harmonization of cortical thickness measurements across scanners and sites,” </w:t>
      </w:r>
      <w:r>
        <w:rPr>
          <w:rFonts w:ascii="Times New Roman" w:hAnsi="Times New Roman"/>
          <w:b w:val="0"/>
          <w:i/>
          <w:sz w:val="16"/>
        </w:rPr>
        <w:t>NeuroImage</w:t>
      </w:r>
      <w:r>
        <w:rPr>
          <w:rFonts w:ascii="Times New Roman" w:hAnsi="Times New Roman"/>
          <w:b w:val="0"/>
          <w:i w:val="0"/>
          <w:sz w:val="16"/>
        </w:rPr>
        <w:t>, vol. 167, pp. 104–120, 2018.</w:t>
      </w:r>
    </w:p>
    <w:p>
      <w:pPr>
        <w:keepNext w:val="0"/>
        <w:tabs>
          <w:tab w:pos="432" w:val="left"/>
        </w:tabs>
        <w:spacing w:before="0" w:after="20" w:line="240" w:lineRule="auto"/>
        <w:ind w:left="432" w:hanging="432"/>
        <w:jc w:val="both"/>
      </w:pPr>
      <w:r>
        <w:rPr>
          <w:rFonts w:ascii="Times New Roman" w:hAnsi="Times New Roman"/>
          <w:b w:val="0"/>
          <w:i w:val="0"/>
          <w:sz w:val="16"/>
        </w:rPr>
        <w:t>[19]</w:t>
        <w:tab/>
      </w:r>
      <w:r>
        <w:rPr>
          <w:rFonts w:ascii="Times New Roman" w:hAnsi="Times New Roman"/>
          <w:b w:val="0"/>
          <w:i w:val="0"/>
          <w:sz w:val="16"/>
        </w:rPr>
        <w:t xml:space="preserve">N. K. Dinsdale, M. Jenkinson, and A. I. L. Namburete, “Deep learning-based unlearning of dataset bias for MRI harmonisation and confound removal,” </w:t>
      </w:r>
      <w:r>
        <w:rPr>
          <w:rFonts w:ascii="Times New Roman" w:hAnsi="Times New Roman"/>
          <w:b w:val="0"/>
          <w:i/>
          <w:sz w:val="16"/>
        </w:rPr>
        <w:t>NeuroImage</w:t>
      </w:r>
      <w:r>
        <w:rPr>
          <w:rFonts w:ascii="Times New Roman" w:hAnsi="Times New Roman"/>
          <w:b w:val="0"/>
          <w:i w:val="0"/>
          <w:sz w:val="16"/>
        </w:rPr>
        <w:t>, vol. 228, Art. no. 117689, 2021.</w:t>
      </w:r>
    </w:p>
    <w:p>
      <w:pPr>
        <w:keepNext w:val="0"/>
        <w:tabs>
          <w:tab w:pos="432" w:val="left"/>
        </w:tabs>
        <w:spacing w:before="0" w:after="20" w:line="240" w:lineRule="auto"/>
        <w:ind w:left="432" w:hanging="432"/>
        <w:jc w:val="both"/>
      </w:pPr>
      <w:r>
        <w:rPr>
          <w:rFonts w:ascii="Times New Roman" w:hAnsi="Times New Roman"/>
          <w:b w:val="0"/>
          <w:i w:val="0"/>
          <w:sz w:val="16"/>
        </w:rPr>
        <w:t>[20]</w:t>
        <w:tab/>
      </w:r>
      <w:r>
        <w:rPr>
          <w:rFonts w:ascii="Times New Roman" w:hAnsi="Times New Roman"/>
          <w:b w:val="0"/>
          <w:i w:val="0"/>
          <w:sz w:val="16"/>
        </w:rPr>
        <w:t xml:space="preserve">L. J. Aguzin Parrilli, M. A. Belzunce et al., “Bias and generalizability of brain age prediction models: A multi-cohort evaluation with anatomical and interpretability insights,” </w:t>
      </w:r>
      <w:r>
        <w:rPr>
          <w:rFonts w:ascii="Times New Roman" w:hAnsi="Times New Roman"/>
          <w:b w:val="0"/>
          <w:i/>
          <w:sz w:val="16"/>
        </w:rPr>
        <w:t>Imaging Neuroscience</w:t>
      </w:r>
      <w:r>
        <w:rPr>
          <w:rFonts w:ascii="Times New Roman" w:hAnsi="Times New Roman"/>
          <w:b w:val="0"/>
          <w:i w:val="0"/>
          <w:sz w:val="16"/>
        </w:rPr>
        <w:t>, vol. 4, Art. no. IMAG.a.1164, 2026.</w:t>
      </w:r>
    </w:p>
    <w:p>
      <w:pPr>
        <w:keepNext w:val="0"/>
        <w:tabs>
          <w:tab w:pos="432" w:val="left"/>
        </w:tabs>
        <w:spacing w:before="0" w:after="20" w:line="240" w:lineRule="auto"/>
        <w:ind w:left="432" w:hanging="432"/>
        <w:jc w:val="both"/>
      </w:pPr>
      <w:r>
        <w:rPr>
          <w:rFonts w:ascii="Times New Roman" w:hAnsi="Times New Roman"/>
          <w:b w:val="0"/>
          <w:i w:val="0"/>
          <w:sz w:val="16"/>
        </w:rPr>
        <w:t>[21]</w:t>
        <w:tab/>
      </w:r>
      <w:r>
        <w:rPr>
          <w:rFonts w:ascii="Times New Roman" w:hAnsi="Times New Roman"/>
          <w:b w:val="0"/>
          <w:i w:val="0"/>
          <w:sz w:val="16"/>
        </w:rPr>
        <w:t xml:space="preserve">M. Mitchell, S. Wu, A. Zaldivar et al., “Model cards for model reporting,” </w:t>
      </w:r>
      <w:r>
        <w:rPr>
          <w:rFonts w:ascii="Times New Roman" w:hAnsi="Times New Roman"/>
          <w:b w:val="0"/>
          <w:i w:val="0"/>
          <w:sz w:val="16"/>
        </w:rPr>
        <w:t xml:space="preserve">in </w:t>
      </w:r>
      <w:r>
        <w:rPr>
          <w:rFonts w:ascii="Times New Roman" w:hAnsi="Times New Roman"/>
          <w:b w:val="0"/>
          <w:i/>
          <w:sz w:val="16"/>
        </w:rPr>
        <w:t>Proc. Conference on Fairness, Accountability, and Transparency (FAT*)</w:t>
      </w:r>
      <w:r>
        <w:rPr>
          <w:rFonts w:ascii="Times New Roman" w:hAnsi="Times New Roman"/>
          <w:b w:val="0"/>
          <w:i w:val="0"/>
          <w:sz w:val="16"/>
        </w:rPr>
        <w:t>, pp. 220–229, 2019.</w:t>
      </w:r>
    </w:p>
    <w:p>
      <w:pPr>
        <w:keepNext w:val="0"/>
        <w:tabs>
          <w:tab w:pos="432" w:val="left"/>
        </w:tabs>
        <w:spacing w:before="0" w:after="20" w:line="240" w:lineRule="auto"/>
        <w:ind w:left="432" w:hanging="432"/>
        <w:jc w:val="both"/>
      </w:pPr>
      <w:r>
        <w:rPr>
          <w:rFonts w:ascii="Times New Roman" w:hAnsi="Times New Roman"/>
          <w:b w:val="0"/>
          <w:i w:val="0"/>
          <w:sz w:val="16"/>
        </w:rPr>
        <w:t>[22]</w:t>
        <w:tab/>
      </w:r>
      <w:r>
        <w:rPr>
          <w:rFonts w:ascii="Times New Roman" w:hAnsi="Times New Roman"/>
          <w:b w:val="0"/>
          <w:i w:val="0"/>
          <w:sz w:val="16"/>
        </w:rPr>
        <w:t xml:space="preserve">T. T. Le, R. T. Kuplicki, B. A. McKinney et al., “A nonlinear simulation framework supports adjusting for age when analyzing BrainAGE,” </w:t>
      </w:r>
      <w:r>
        <w:rPr>
          <w:rFonts w:ascii="Times New Roman" w:hAnsi="Times New Roman"/>
          <w:b w:val="0"/>
          <w:i/>
          <w:sz w:val="16"/>
        </w:rPr>
        <w:t>Frontiers in Aging Neuroscience</w:t>
      </w:r>
      <w:r>
        <w:rPr>
          <w:rFonts w:ascii="Times New Roman" w:hAnsi="Times New Roman"/>
          <w:b w:val="0"/>
          <w:i w:val="0"/>
          <w:sz w:val="16"/>
        </w:rPr>
        <w:t>, vol. 10, Art. no. 317, 2018.</w:t>
      </w:r>
    </w:p>
    <w:p>
      <w:pPr>
        <w:keepNext w:val="0"/>
        <w:tabs>
          <w:tab w:pos="432" w:val="left"/>
        </w:tabs>
        <w:spacing w:before="0" w:after="20" w:line="240" w:lineRule="auto"/>
        <w:ind w:left="432" w:hanging="432"/>
        <w:jc w:val="both"/>
      </w:pPr>
      <w:r>
        <w:rPr>
          <w:rFonts w:ascii="Times New Roman" w:hAnsi="Times New Roman"/>
          <w:b w:val="0"/>
          <w:i w:val="0"/>
          <w:sz w:val="16"/>
        </w:rPr>
        <w:t>[23]</w:t>
        <w:tab/>
      </w:r>
      <w:r>
        <w:rPr>
          <w:rFonts w:ascii="Times New Roman" w:hAnsi="Times New Roman"/>
          <w:b w:val="0"/>
          <w:i w:val="0"/>
          <w:sz w:val="16"/>
        </w:rPr>
        <w:t xml:space="preserve">S. M. Smith, D. Vidaurre, F. Alfaro-Almagro, T. E. Nichols, and K. L. Miller, “Estimation of brain age delta from brain imaging,” </w:t>
      </w:r>
      <w:r>
        <w:rPr>
          <w:rFonts w:ascii="Times New Roman" w:hAnsi="Times New Roman"/>
          <w:b w:val="0"/>
          <w:i/>
          <w:sz w:val="16"/>
        </w:rPr>
        <w:t>NeuroImage</w:t>
      </w:r>
      <w:r>
        <w:rPr>
          <w:rFonts w:ascii="Times New Roman" w:hAnsi="Times New Roman"/>
          <w:b w:val="0"/>
          <w:i w:val="0"/>
          <w:sz w:val="16"/>
        </w:rPr>
        <w:t>, vol. 200, pp. 528–539, 2019.</w:t>
      </w:r>
    </w:p>
    <w:p>
      <w:pPr>
        <w:keepNext w:val="0"/>
        <w:tabs>
          <w:tab w:pos="432" w:val="left"/>
        </w:tabs>
        <w:spacing w:before="0" w:after="20" w:line="240" w:lineRule="auto"/>
        <w:ind w:left="432" w:hanging="432"/>
        <w:jc w:val="both"/>
      </w:pPr>
      <w:r>
        <w:rPr>
          <w:rFonts w:ascii="Times New Roman" w:hAnsi="Times New Roman"/>
          <w:b w:val="0"/>
          <w:i w:val="0"/>
          <w:sz w:val="16"/>
        </w:rPr>
        <w:t>[24]</w:t>
        <w:tab/>
      </w:r>
      <w:r>
        <w:rPr>
          <w:rFonts w:ascii="Times New Roman" w:hAnsi="Times New Roman"/>
          <w:b w:val="0"/>
          <w:i w:val="0"/>
          <w:sz w:val="16"/>
        </w:rPr>
        <w:t xml:space="preserve">A. G. de Lange and J. H. Cole, “Commentary: Correction procedures in brain-age prediction,” </w:t>
      </w:r>
      <w:r>
        <w:rPr>
          <w:rFonts w:ascii="Times New Roman" w:hAnsi="Times New Roman"/>
          <w:b w:val="0"/>
          <w:i/>
          <w:sz w:val="16"/>
        </w:rPr>
        <w:t>NeuroImage: Clinical</w:t>
      </w:r>
      <w:r>
        <w:rPr>
          <w:rFonts w:ascii="Times New Roman" w:hAnsi="Times New Roman"/>
          <w:b w:val="0"/>
          <w:i w:val="0"/>
          <w:sz w:val="16"/>
        </w:rPr>
        <w:t>, vol. 26, Art. no. 102229, 2020.</w:t>
      </w:r>
    </w:p>
    <w:p>
      <w:pPr>
        <w:keepNext w:val="0"/>
        <w:tabs>
          <w:tab w:pos="432" w:val="left"/>
        </w:tabs>
        <w:spacing w:before="0" w:after="20" w:line="240" w:lineRule="auto"/>
        <w:ind w:left="432" w:hanging="432"/>
        <w:jc w:val="both"/>
      </w:pPr>
      <w:r>
        <w:rPr>
          <w:rFonts w:ascii="Times New Roman" w:hAnsi="Times New Roman"/>
          <w:b w:val="0"/>
          <w:i w:val="0"/>
          <w:sz w:val="16"/>
        </w:rPr>
        <w:t>[25]</w:t>
        <w:tab/>
      </w:r>
      <w:r>
        <w:rPr>
          <w:rFonts w:ascii="Times New Roman" w:hAnsi="Times New Roman"/>
          <w:b w:val="0"/>
          <w:i w:val="0"/>
          <w:sz w:val="16"/>
        </w:rPr>
        <w:t xml:space="preserve">B. Glocker, C. Jones, M. Bernhardt, and S. Winzeck, “Algorithmic encoding of protected characteristics in chest X-ray disease detection models,” </w:t>
      </w:r>
      <w:r>
        <w:rPr>
          <w:rFonts w:ascii="Times New Roman" w:hAnsi="Times New Roman"/>
          <w:b w:val="0"/>
          <w:i/>
          <w:sz w:val="16"/>
        </w:rPr>
        <w:t>eBioMedicine</w:t>
      </w:r>
      <w:r>
        <w:rPr>
          <w:rFonts w:ascii="Times New Roman" w:hAnsi="Times New Roman"/>
          <w:b w:val="0"/>
          <w:i w:val="0"/>
          <w:sz w:val="16"/>
        </w:rPr>
        <w:t>, vol. 89, Art. no. 104467, 2023.</w:t>
      </w:r>
    </w:p>
    <w:p>
      <w:pPr>
        <w:keepNext w:val="0"/>
        <w:tabs>
          <w:tab w:pos="432" w:val="left"/>
        </w:tabs>
        <w:spacing w:before="0" w:after="20" w:line="240" w:lineRule="auto"/>
        <w:ind w:left="432" w:hanging="432"/>
        <w:jc w:val="both"/>
      </w:pPr>
      <w:r>
        <w:rPr>
          <w:rFonts w:ascii="Times New Roman" w:hAnsi="Times New Roman"/>
          <w:b w:val="0"/>
          <w:i w:val="0"/>
          <w:sz w:val="16"/>
        </w:rPr>
        <w:t>[26]</w:t>
        <w:tab/>
      </w:r>
      <w:r>
        <w:rPr>
          <w:rFonts w:ascii="Times New Roman" w:hAnsi="Times New Roman"/>
          <w:b w:val="0"/>
          <w:i w:val="0"/>
          <w:sz w:val="16"/>
        </w:rPr>
        <w:t xml:space="preserve">G. Alain and Y. Bengio, “Understanding intermediate layers using linear classifier probes,” </w:t>
      </w:r>
      <w:r>
        <w:rPr>
          <w:rFonts w:ascii="Times New Roman" w:hAnsi="Times New Roman"/>
          <w:b w:val="0"/>
          <w:i w:val="0"/>
          <w:sz w:val="16"/>
        </w:rPr>
        <w:t>arXiv preprint arXiv:1610.01644, 2016.</w:t>
      </w:r>
    </w:p>
    <w:p>
      <w:pPr>
        <w:keepNext w:val="0"/>
        <w:tabs>
          <w:tab w:pos="432" w:val="left"/>
        </w:tabs>
        <w:spacing w:before="0" w:after="20" w:line="240" w:lineRule="auto"/>
        <w:ind w:left="432" w:hanging="432"/>
        <w:jc w:val="both"/>
      </w:pPr>
      <w:r>
        <w:rPr>
          <w:rFonts w:ascii="Times New Roman" w:hAnsi="Times New Roman"/>
          <w:b w:val="0"/>
          <w:i w:val="0"/>
          <w:sz w:val="16"/>
        </w:rPr>
        <w:t>[27]</w:t>
        <w:tab/>
      </w:r>
      <w:r>
        <w:rPr>
          <w:rFonts w:ascii="Times New Roman" w:hAnsi="Times New Roman"/>
          <w:b w:val="0"/>
          <w:i w:val="0"/>
          <w:sz w:val="16"/>
        </w:rPr>
        <w:t xml:space="preserve">N. Belrose, D. Schneider-Joseph, S. Ravfogel, R. Cotterell, E. Raff, and S. Biderman, “LEACE: Perfect linear concept erasure in closed form,” </w:t>
      </w:r>
      <w:r>
        <w:rPr>
          <w:rFonts w:ascii="Times New Roman" w:hAnsi="Times New Roman"/>
          <w:b w:val="0"/>
          <w:i w:val="0"/>
          <w:sz w:val="16"/>
        </w:rPr>
        <w:t xml:space="preserve">in </w:t>
      </w:r>
      <w:r>
        <w:rPr>
          <w:rFonts w:ascii="Times New Roman" w:hAnsi="Times New Roman"/>
          <w:b w:val="0"/>
          <w:i/>
          <w:sz w:val="16"/>
        </w:rPr>
        <w:t>Advances in Neural Information Processing Systems (NeurIPS)</w:t>
      </w:r>
      <w:r>
        <w:rPr>
          <w:rFonts w:ascii="Times New Roman" w:hAnsi="Times New Roman"/>
          <w:b w:val="0"/>
          <w:i w:val="0"/>
          <w:sz w:val="16"/>
        </w:rPr>
        <w:t>, vol. 36, 2023.</w:t>
      </w:r>
    </w:p>
    <w:p>
      <w:pPr>
        <w:keepNext w:val="0"/>
        <w:tabs>
          <w:tab w:pos="432" w:val="left"/>
        </w:tabs>
        <w:spacing w:before="0" w:after="20" w:line="240" w:lineRule="auto"/>
        <w:ind w:left="432" w:hanging="432"/>
        <w:jc w:val="both"/>
      </w:pPr>
      <w:r>
        <w:rPr>
          <w:rFonts w:ascii="Times New Roman" w:hAnsi="Times New Roman"/>
          <w:b w:val="0"/>
          <w:i w:val="0"/>
          <w:sz w:val="16"/>
        </w:rPr>
        <w:t>[28]</w:t>
        <w:tab/>
      </w:r>
      <w:r>
        <w:rPr>
          <w:rFonts w:ascii="Times New Roman" w:hAnsi="Times New Roman"/>
          <w:b w:val="0"/>
          <w:i w:val="0"/>
          <w:sz w:val="16"/>
        </w:rPr>
        <w:t xml:space="preserve">W. E. Johnson, C. Li, and A. Rabinovic, “Adjusting batch effects in microarray expression data using empirical Bayes methods,” </w:t>
      </w:r>
      <w:r>
        <w:rPr>
          <w:rFonts w:ascii="Times New Roman" w:hAnsi="Times New Roman"/>
          <w:b w:val="0"/>
          <w:i/>
          <w:sz w:val="16"/>
        </w:rPr>
        <w:t>Biostatistics</w:t>
      </w:r>
      <w:r>
        <w:rPr>
          <w:rFonts w:ascii="Times New Roman" w:hAnsi="Times New Roman"/>
          <w:b w:val="0"/>
          <w:i w:val="0"/>
          <w:sz w:val="16"/>
        </w:rPr>
        <w:t>, vol. 8, no. 1, pp. 118–127, 2007.</w:t>
      </w:r>
    </w:p>
    <w:p>
      <w:pPr>
        <w:keepNext w:val="0"/>
        <w:tabs>
          <w:tab w:pos="432" w:val="left"/>
        </w:tabs>
        <w:spacing w:before="0" w:after="20" w:line="240" w:lineRule="auto"/>
        <w:ind w:left="432" w:hanging="432"/>
        <w:jc w:val="both"/>
      </w:pPr>
      <w:r>
        <w:rPr>
          <w:rFonts w:ascii="Times New Roman" w:hAnsi="Times New Roman"/>
          <w:b w:val="0"/>
          <w:i w:val="0"/>
          <w:sz w:val="16"/>
        </w:rPr>
        <w:t>[29]</w:t>
        <w:tab/>
      </w:r>
      <w:r>
        <w:rPr>
          <w:rFonts w:ascii="Times New Roman" w:hAnsi="Times New Roman"/>
          <w:b w:val="0"/>
          <w:i w:val="0"/>
          <w:sz w:val="16"/>
        </w:rPr>
        <w:t xml:space="preserve">R. Pomponio, G. Erus, M. Habes et al., “Harmonization of large MRI datasets for the analysis of brain imaging patterns throughout the lifespan,” </w:t>
      </w:r>
      <w:r>
        <w:rPr>
          <w:rFonts w:ascii="Times New Roman" w:hAnsi="Times New Roman"/>
          <w:b w:val="0"/>
          <w:i/>
          <w:sz w:val="16"/>
        </w:rPr>
        <w:t>NeuroImage</w:t>
      </w:r>
      <w:r>
        <w:rPr>
          <w:rFonts w:ascii="Times New Roman" w:hAnsi="Times New Roman"/>
          <w:b w:val="0"/>
          <w:i w:val="0"/>
          <w:sz w:val="16"/>
        </w:rPr>
        <w:t>, vol. 208, Art. no. 116450, 2020.</w:t>
      </w:r>
    </w:p>
    <w:p>
      <w:pPr>
        <w:keepNext w:val="0"/>
        <w:tabs>
          <w:tab w:pos="432" w:val="left"/>
        </w:tabs>
        <w:spacing w:before="0" w:after="20" w:line="240" w:lineRule="auto"/>
        <w:ind w:left="432" w:hanging="432"/>
        <w:jc w:val="both"/>
      </w:pPr>
      <w:r>
        <w:rPr>
          <w:rFonts w:ascii="Times New Roman" w:hAnsi="Times New Roman"/>
          <w:b w:val="0"/>
          <w:i w:val="0"/>
          <w:sz w:val="16"/>
        </w:rPr>
        <w:t>[30]</w:t>
        <w:tab/>
      </w:r>
      <w:r>
        <w:rPr>
          <w:rFonts w:ascii="Times New Roman" w:hAnsi="Times New Roman"/>
          <w:b w:val="0"/>
          <w:i w:val="0"/>
          <w:sz w:val="16"/>
        </w:rPr>
        <w:t xml:space="preserve">Y. Ganin, E. Ustinova, H. Ajakan et al., “Domain-adversarial training of neural networks,” </w:t>
      </w:r>
      <w:r>
        <w:rPr>
          <w:rFonts w:ascii="Times New Roman" w:hAnsi="Times New Roman"/>
          <w:b w:val="0"/>
          <w:i/>
          <w:sz w:val="16"/>
        </w:rPr>
        <w:t>Journal of Machine Learning Research</w:t>
      </w:r>
      <w:r>
        <w:rPr>
          <w:rFonts w:ascii="Times New Roman" w:hAnsi="Times New Roman"/>
          <w:b w:val="0"/>
          <w:i w:val="0"/>
          <w:sz w:val="16"/>
        </w:rPr>
        <w:t>, vol. 17, no. 59, pp. 1–35, 2016.</w:t>
      </w:r>
    </w:p>
    <w:p>
      <w:pPr>
        <w:keepNext w:val="0"/>
        <w:tabs>
          <w:tab w:pos="432" w:val="left"/>
        </w:tabs>
        <w:spacing w:before="0" w:after="20" w:line="240" w:lineRule="auto"/>
        <w:ind w:left="432" w:hanging="432"/>
        <w:jc w:val="both"/>
      </w:pPr>
      <w:r>
        <w:rPr>
          <w:rFonts w:ascii="Times New Roman" w:hAnsi="Times New Roman"/>
          <w:b w:val="0"/>
          <w:i w:val="0"/>
          <w:sz w:val="16"/>
        </w:rPr>
        <w:t>[31]</w:t>
        <w:tab/>
      </w:r>
      <w:r>
        <w:rPr>
          <w:rFonts w:ascii="Times New Roman" w:hAnsi="Times New Roman"/>
          <w:b w:val="0"/>
          <w:i w:val="0"/>
          <w:sz w:val="16"/>
        </w:rPr>
        <w:t xml:space="preserve">L. G. Nyúl, J. K. Udupa, and X. Zhang, “New variants of a method of MRI scale standardization,” </w:t>
      </w:r>
      <w:r>
        <w:rPr>
          <w:rFonts w:ascii="Times New Roman" w:hAnsi="Times New Roman"/>
          <w:b w:val="0"/>
          <w:i/>
          <w:sz w:val="16"/>
        </w:rPr>
        <w:t>IEEE Transactions on Medical Imaging</w:t>
      </w:r>
      <w:r>
        <w:rPr>
          <w:rFonts w:ascii="Times New Roman" w:hAnsi="Times New Roman"/>
          <w:b w:val="0"/>
          <w:i w:val="0"/>
          <w:sz w:val="16"/>
        </w:rPr>
        <w:t>, vol. 19, no. 2, pp. 143–150, 2000.</w:t>
      </w:r>
    </w:p>
    <w:p>
      <w:pPr>
        <w:keepNext w:val="0"/>
        <w:tabs>
          <w:tab w:pos="432" w:val="left"/>
        </w:tabs>
        <w:spacing w:before="0" w:after="20" w:line="240" w:lineRule="auto"/>
        <w:ind w:left="432" w:hanging="432"/>
        <w:jc w:val="both"/>
      </w:pPr>
      <w:r>
        <w:rPr>
          <w:rFonts w:ascii="Times New Roman" w:hAnsi="Times New Roman"/>
          <w:b w:val="0"/>
          <w:i w:val="0"/>
          <w:sz w:val="16"/>
        </w:rPr>
        <w:t>[32]</w:t>
        <w:tab/>
      </w:r>
      <w:r>
        <w:rPr>
          <w:rFonts w:ascii="Times New Roman" w:hAnsi="Times New Roman"/>
          <w:b w:val="0"/>
          <w:i w:val="0"/>
          <w:sz w:val="16"/>
        </w:rPr>
        <w:t xml:space="preserve">R. R. Selvaraju, M. Cogswell, A. Das, R. Vedantam, D. Parikh, and D. Batra, “Grad-CAM: Visual explanations from deep networks via gradient-based localization,” </w:t>
      </w:r>
      <w:r>
        <w:rPr>
          <w:rFonts w:ascii="Times New Roman" w:hAnsi="Times New Roman"/>
          <w:b w:val="0"/>
          <w:i w:val="0"/>
          <w:sz w:val="16"/>
        </w:rPr>
        <w:t xml:space="preserve">in </w:t>
      </w:r>
      <w:r>
        <w:rPr>
          <w:rFonts w:ascii="Times New Roman" w:hAnsi="Times New Roman"/>
          <w:b w:val="0"/>
          <w:i/>
          <w:sz w:val="16"/>
        </w:rPr>
        <w:t>Proc. IEEE International Conference on Computer Vision (ICCV)</w:t>
      </w:r>
      <w:r>
        <w:rPr>
          <w:rFonts w:ascii="Times New Roman" w:hAnsi="Times New Roman"/>
          <w:b w:val="0"/>
          <w:i w:val="0"/>
          <w:sz w:val="16"/>
        </w:rPr>
        <w:t>, pp. 618–626, 2017.</w:t>
      </w:r>
    </w:p>
    <w:p>
      <w:pPr>
        <w:keepNext w:val="0"/>
        <w:tabs>
          <w:tab w:pos="432" w:val="left"/>
        </w:tabs>
        <w:spacing w:before="0" w:after="20" w:line="240" w:lineRule="auto"/>
        <w:ind w:left="432" w:hanging="432"/>
        <w:jc w:val="both"/>
      </w:pPr>
      <w:r>
        <w:rPr>
          <w:rFonts w:ascii="Times New Roman" w:hAnsi="Times New Roman"/>
          <w:b w:val="0"/>
          <w:i w:val="0"/>
          <w:sz w:val="16"/>
        </w:rPr>
        <w:t>[33]</w:t>
        <w:tab/>
      </w:r>
      <w:r>
        <w:rPr>
          <w:rFonts w:ascii="Times New Roman" w:hAnsi="Times New Roman"/>
          <w:b w:val="0"/>
          <w:i w:val="0"/>
          <w:sz w:val="16"/>
        </w:rPr>
        <w:t xml:space="preserve">R. L. Draelos and L. Carin, “Use HiResCAM instead of Grad-CAM for faithful explanations of convolutional neural networks,” </w:t>
      </w:r>
      <w:r>
        <w:rPr>
          <w:rFonts w:ascii="Times New Roman" w:hAnsi="Times New Roman"/>
          <w:b w:val="0"/>
          <w:i w:val="0"/>
          <w:sz w:val="16"/>
        </w:rPr>
        <w:t>arXiv preprint arXiv:2011.08891, 2020.</w:t>
      </w:r>
    </w:p>
    <w:p>
      <w:pPr>
        <w:keepNext w:val="0"/>
        <w:tabs>
          <w:tab w:pos="432" w:val="left"/>
        </w:tabs>
        <w:spacing w:before="0" w:after="20" w:line="240" w:lineRule="auto"/>
        <w:ind w:left="432" w:hanging="432"/>
        <w:jc w:val="both"/>
      </w:pPr>
      <w:r>
        <w:rPr>
          <w:rFonts w:ascii="Times New Roman" w:hAnsi="Times New Roman"/>
          <w:b w:val="0"/>
          <w:i w:val="0"/>
          <w:sz w:val="16"/>
        </w:rPr>
        <w:t>[34]</w:t>
        <w:tab/>
      </w:r>
      <w:r>
        <w:rPr>
          <w:rFonts w:ascii="Times New Roman" w:hAnsi="Times New Roman"/>
          <w:b w:val="0"/>
          <w:i w:val="0"/>
          <w:sz w:val="16"/>
        </w:rPr>
        <w:t xml:space="preserve">M. Sundararajan, A. Taly, and Q. Yan, “Axiomatic attribution for deep networks,” </w:t>
      </w:r>
      <w:r>
        <w:rPr>
          <w:rFonts w:ascii="Times New Roman" w:hAnsi="Times New Roman"/>
          <w:b w:val="0"/>
          <w:i w:val="0"/>
          <w:sz w:val="16"/>
        </w:rPr>
        <w:t xml:space="preserve">in </w:t>
      </w:r>
      <w:r>
        <w:rPr>
          <w:rFonts w:ascii="Times New Roman" w:hAnsi="Times New Roman"/>
          <w:b w:val="0"/>
          <w:i/>
          <w:sz w:val="16"/>
        </w:rPr>
        <w:t>Proc. International Conference on Machine Learning (ICML)</w:t>
      </w:r>
      <w:r>
        <w:rPr>
          <w:rFonts w:ascii="Times New Roman" w:hAnsi="Times New Roman"/>
          <w:b w:val="0"/>
          <w:i w:val="0"/>
          <w:sz w:val="16"/>
        </w:rPr>
        <w:t>, pp. 3319–3328, 2017.</w:t>
      </w:r>
    </w:p>
    <w:p>
      <w:pPr>
        <w:keepNext w:val="0"/>
        <w:tabs>
          <w:tab w:pos="432" w:val="left"/>
        </w:tabs>
        <w:spacing w:before="0" w:after="20" w:line="240" w:lineRule="auto"/>
        <w:ind w:left="432" w:hanging="432"/>
        <w:jc w:val="both"/>
      </w:pPr>
      <w:r>
        <w:rPr>
          <w:rFonts w:ascii="Times New Roman" w:hAnsi="Times New Roman"/>
          <w:b w:val="0"/>
          <w:i w:val="0"/>
          <w:sz w:val="16"/>
        </w:rPr>
        <w:t>[35]</w:t>
        <w:tab/>
      </w:r>
      <w:r>
        <w:rPr>
          <w:rFonts w:ascii="Times New Roman" w:hAnsi="Times New Roman"/>
          <w:b w:val="0"/>
          <w:i w:val="0"/>
          <w:sz w:val="16"/>
        </w:rPr>
        <w:t xml:space="preserve">W. Samek, A. Binder, G. Montavon, S. Lapuschkin, and K. Müller, “Evaluating the visualization of what a deep neural network has learned,” </w:t>
      </w:r>
      <w:r>
        <w:rPr>
          <w:rFonts w:ascii="Times New Roman" w:hAnsi="Times New Roman"/>
          <w:b w:val="0"/>
          <w:i/>
          <w:sz w:val="16"/>
        </w:rPr>
        <w:t>IEEE Transactions on Neural Networks and Learning Systems</w:t>
      </w:r>
      <w:r>
        <w:rPr>
          <w:rFonts w:ascii="Times New Roman" w:hAnsi="Times New Roman"/>
          <w:b w:val="0"/>
          <w:i w:val="0"/>
          <w:sz w:val="16"/>
        </w:rPr>
        <w:t>, vol. 28, no. 11, pp. 2660–2673, 2017.</w:t>
      </w:r>
    </w:p>
    <w:p>
      <w:pPr>
        <w:keepNext w:val="0"/>
        <w:tabs>
          <w:tab w:pos="432" w:val="left"/>
        </w:tabs>
        <w:spacing w:before="0" w:after="20" w:line="240" w:lineRule="auto"/>
        <w:ind w:left="432" w:hanging="432"/>
        <w:jc w:val="both"/>
      </w:pPr>
      <w:r>
        <w:rPr>
          <w:rFonts w:ascii="Times New Roman" w:hAnsi="Times New Roman"/>
          <w:b w:val="0"/>
          <w:i w:val="0"/>
          <w:sz w:val="16"/>
        </w:rPr>
        <w:t>[36]</w:t>
        <w:tab/>
      </w:r>
      <w:r>
        <w:rPr>
          <w:rFonts w:ascii="Times New Roman" w:hAnsi="Times New Roman"/>
          <w:b w:val="0"/>
          <w:i w:val="0"/>
          <w:sz w:val="16"/>
        </w:rPr>
        <w:t xml:space="preserve">C. Guo, G. Pleiss, Y. Sun, and K. Q. Weinberger, “On calibration of modern neural networks,” </w:t>
      </w:r>
      <w:r>
        <w:rPr>
          <w:rFonts w:ascii="Times New Roman" w:hAnsi="Times New Roman"/>
          <w:b w:val="0"/>
          <w:i w:val="0"/>
          <w:sz w:val="16"/>
        </w:rPr>
        <w:t xml:space="preserve">in </w:t>
      </w:r>
      <w:r>
        <w:rPr>
          <w:rFonts w:ascii="Times New Roman" w:hAnsi="Times New Roman"/>
          <w:b w:val="0"/>
          <w:i/>
          <w:sz w:val="16"/>
        </w:rPr>
        <w:t>Proc. International Conference on Machine Learning (ICML)</w:t>
      </w:r>
      <w:r>
        <w:rPr>
          <w:rFonts w:ascii="Times New Roman" w:hAnsi="Times New Roman"/>
          <w:b w:val="0"/>
          <w:i w:val="0"/>
          <w:sz w:val="16"/>
        </w:rPr>
        <w:t>, pp. 1321–1330, 2017.</w:t>
      </w:r>
    </w:p>
    <w:p>
      <w:pPr>
        <w:keepNext w:val="0"/>
        <w:tabs>
          <w:tab w:pos="432" w:val="left"/>
        </w:tabs>
        <w:spacing w:before="0" w:after="20" w:line="240" w:lineRule="auto"/>
        <w:ind w:left="432" w:hanging="432"/>
        <w:jc w:val="both"/>
      </w:pPr>
      <w:r>
        <w:rPr>
          <w:rFonts w:ascii="Times New Roman" w:hAnsi="Times New Roman"/>
          <w:b w:val="0"/>
          <w:i w:val="0"/>
          <w:sz w:val="16"/>
        </w:rPr>
        <w:t>[37]</w:t>
        <w:tab/>
      </w:r>
      <w:r>
        <w:rPr>
          <w:rFonts w:ascii="Times New Roman" w:hAnsi="Times New Roman"/>
          <w:b w:val="0"/>
          <w:i w:val="0"/>
          <w:sz w:val="16"/>
        </w:rPr>
        <w:t xml:space="preserve">B. Lakshminarayanan, A. Pritzel, and C. Blundell, “Simple and scalable predictive uncertainty estimation using deep ensembles,” </w:t>
      </w:r>
      <w:r>
        <w:rPr>
          <w:rFonts w:ascii="Times New Roman" w:hAnsi="Times New Roman"/>
          <w:b w:val="0"/>
          <w:i w:val="0"/>
          <w:sz w:val="16"/>
        </w:rPr>
        <w:t xml:space="preserve">in </w:t>
      </w:r>
      <w:r>
        <w:rPr>
          <w:rFonts w:ascii="Times New Roman" w:hAnsi="Times New Roman"/>
          <w:b w:val="0"/>
          <w:i/>
          <w:sz w:val="16"/>
        </w:rPr>
        <w:t>Advances in Neural Information Processing Systems (NeurIPS)</w:t>
      </w:r>
      <w:r>
        <w:rPr>
          <w:rFonts w:ascii="Times New Roman" w:hAnsi="Times New Roman"/>
          <w:b w:val="0"/>
          <w:i w:val="0"/>
          <w:sz w:val="16"/>
        </w:rPr>
        <w:t>, vol. 30, 2017.</w:t>
      </w:r>
    </w:p>
    <w:p>
      <w:pPr>
        <w:keepNext w:val="0"/>
        <w:tabs>
          <w:tab w:pos="432" w:val="left"/>
        </w:tabs>
        <w:spacing w:before="0" w:after="20" w:line="240" w:lineRule="auto"/>
        <w:ind w:left="432" w:hanging="432"/>
        <w:jc w:val="both"/>
      </w:pPr>
      <w:r>
        <w:rPr>
          <w:rFonts w:ascii="Times New Roman" w:hAnsi="Times New Roman"/>
          <w:b w:val="0"/>
          <w:i w:val="0"/>
          <w:sz w:val="16"/>
        </w:rPr>
        <w:t>[38]</w:t>
        <w:tab/>
      </w:r>
      <w:r>
        <w:rPr>
          <w:rFonts w:ascii="Times New Roman" w:hAnsi="Times New Roman"/>
          <w:b w:val="0"/>
          <w:i w:val="0"/>
          <w:sz w:val="16"/>
        </w:rPr>
        <w:t xml:space="preserve">V. Vovk, A. Gammerman, and G. Shafer, </w:t>
      </w:r>
      <w:r>
        <w:rPr>
          <w:rFonts w:ascii="Times New Roman" w:hAnsi="Times New Roman"/>
          <w:b w:val="0"/>
          <w:i/>
          <w:sz w:val="16"/>
        </w:rPr>
        <w:t>Algorithmic Learning in a Random World</w:t>
      </w:r>
      <w:r>
        <w:rPr>
          <w:rFonts w:ascii="Times New Roman" w:hAnsi="Times New Roman"/>
          <w:b w:val="0"/>
          <w:i w:val="0"/>
          <w:sz w:val="16"/>
        </w:rPr>
        <w:t>. New York: Springer, 2005.</w:t>
      </w:r>
    </w:p>
    <w:p>
      <w:pPr>
        <w:keepNext w:val="0"/>
        <w:tabs>
          <w:tab w:pos="432" w:val="left"/>
        </w:tabs>
        <w:spacing w:before="0" w:after="20" w:line="240" w:lineRule="auto"/>
        <w:ind w:left="432" w:hanging="432"/>
        <w:jc w:val="both"/>
      </w:pPr>
      <w:r>
        <w:rPr>
          <w:rFonts w:ascii="Times New Roman" w:hAnsi="Times New Roman"/>
          <w:b w:val="0"/>
          <w:i w:val="0"/>
          <w:sz w:val="16"/>
        </w:rPr>
        <w:t>[39]</w:t>
        <w:tab/>
      </w:r>
      <w:r>
        <w:rPr>
          <w:rFonts w:ascii="Times New Roman" w:hAnsi="Times New Roman"/>
          <w:b w:val="0"/>
          <w:i w:val="0"/>
          <w:sz w:val="16"/>
        </w:rPr>
        <w:t xml:space="preserve">A. N. Angelopoulos and S. Bates, “Conformal prediction: A gentle introduction,” </w:t>
      </w:r>
      <w:r>
        <w:rPr>
          <w:rFonts w:ascii="Times New Roman" w:hAnsi="Times New Roman"/>
          <w:b w:val="0"/>
          <w:i/>
          <w:sz w:val="16"/>
        </w:rPr>
        <w:t>Foundations and Trends in Machine Learning</w:t>
      </w:r>
      <w:r>
        <w:rPr>
          <w:rFonts w:ascii="Times New Roman" w:hAnsi="Times New Roman"/>
          <w:b w:val="0"/>
          <w:i w:val="0"/>
          <w:sz w:val="16"/>
        </w:rPr>
        <w:t>, vol. 16, no. 4, pp. 494–591, 2023.</w:t>
      </w:r>
    </w:p>
    <w:p>
      <w:pPr>
        <w:keepNext w:val="0"/>
        <w:tabs>
          <w:tab w:pos="432" w:val="left"/>
        </w:tabs>
        <w:spacing w:before="0" w:after="20" w:line="240" w:lineRule="auto"/>
        <w:ind w:left="432" w:hanging="432"/>
        <w:jc w:val="both"/>
      </w:pPr>
      <w:r>
        <w:rPr>
          <w:rFonts w:ascii="Times New Roman" w:hAnsi="Times New Roman"/>
          <w:b w:val="0"/>
          <w:i w:val="0"/>
          <w:sz w:val="16"/>
        </w:rPr>
        <w:t>[40]</w:t>
        <w:tab/>
      </w:r>
      <w:r>
        <w:rPr>
          <w:rFonts w:ascii="Times New Roman" w:hAnsi="Times New Roman"/>
          <w:b w:val="0"/>
          <w:i w:val="0"/>
          <w:sz w:val="16"/>
        </w:rPr>
        <w:t>IXI Dataset. [Online]. Available: https://brain-development.org/ixi-dataset/</w:t>
      </w:r>
    </w:p>
    <w:p>
      <w:pPr>
        <w:keepNext w:val="0"/>
        <w:tabs>
          <w:tab w:pos="432" w:val="left"/>
        </w:tabs>
        <w:spacing w:before="0" w:after="20" w:line="240" w:lineRule="auto"/>
        <w:ind w:left="432" w:hanging="432"/>
        <w:jc w:val="both"/>
      </w:pPr>
      <w:r>
        <w:rPr>
          <w:rFonts w:ascii="Times New Roman" w:hAnsi="Times New Roman"/>
          <w:b w:val="0"/>
          <w:i w:val="0"/>
          <w:sz w:val="16"/>
        </w:rPr>
        <w:t>[41]</w:t>
        <w:tab/>
      </w:r>
      <w:r>
        <w:rPr>
          <w:rFonts w:ascii="Times New Roman" w:hAnsi="Times New Roman"/>
          <w:b w:val="0"/>
          <w:i w:val="0"/>
          <w:sz w:val="16"/>
        </w:rPr>
        <w:t xml:space="preserve">N. J. Tustison, B. B. Avants, P. A. Cook et al., “N4ITK: Improved N3 bias correction,” </w:t>
      </w:r>
      <w:r>
        <w:rPr>
          <w:rFonts w:ascii="Times New Roman" w:hAnsi="Times New Roman"/>
          <w:b w:val="0"/>
          <w:i/>
          <w:sz w:val="16"/>
        </w:rPr>
        <w:t>IEEE Transactions on Medical Imaging</w:t>
      </w:r>
      <w:r>
        <w:rPr>
          <w:rFonts w:ascii="Times New Roman" w:hAnsi="Times New Roman"/>
          <w:b w:val="0"/>
          <w:i w:val="0"/>
          <w:sz w:val="16"/>
        </w:rPr>
        <w:t>, vol. 29, no. 6, pp. 1310–1320, 2010.</w:t>
      </w:r>
    </w:p>
    <w:p>
      <w:pPr>
        <w:keepNext w:val="0"/>
        <w:tabs>
          <w:tab w:pos="432" w:val="left"/>
        </w:tabs>
        <w:spacing w:before="0" w:after="20" w:line="240" w:lineRule="auto"/>
        <w:ind w:left="432" w:hanging="432"/>
        <w:jc w:val="both"/>
      </w:pPr>
      <w:r>
        <w:rPr>
          <w:rFonts w:ascii="Times New Roman" w:hAnsi="Times New Roman"/>
          <w:b w:val="0"/>
          <w:i w:val="0"/>
          <w:sz w:val="16"/>
        </w:rPr>
        <w:t>[42]</w:t>
        <w:tab/>
      </w:r>
      <w:r>
        <w:rPr>
          <w:rFonts w:ascii="Times New Roman" w:hAnsi="Times New Roman"/>
          <w:b w:val="0"/>
          <w:i w:val="0"/>
          <w:sz w:val="16"/>
        </w:rPr>
        <w:t xml:space="preserve">N. J. Tustison, P. A. Cook, A. J. Holbrook et al., “The ANTsX ecosystem for quantitative biological and medical imaging,” </w:t>
      </w:r>
      <w:r>
        <w:rPr>
          <w:rFonts w:ascii="Times New Roman" w:hAnsi="Times New Roman"/>
          <w:b w:val="0"/>
          <w:i/>
          <w:sz w:val="16"/>
        </w:rPr>
        <w:t>Scientific Reports</w:t>
      </w:r>
      <w:r>
        <w:rPr>
          <w:rFonts w:ascii="Times New Roman" w:hAnsi="Times New Roman"/>
          <w:b w:val="0"/>
          <w:i w:val="0"/>
          <w:sz w:val="16"/>
        </w:rPr>
        <w:t>, vol. 11, Art. no. 9068, 2021.</w:t>
      </w:r>
    </w:p>
    <w:p>
      <w:pPr>
        <w:keepNext w:val="0"/>
        <w:tabs>
          <w:tab w:pos="432" w:val="left"/>
        </w:tabs>
        <w:spacing w:before="0" w:after="20" w:line="240" w:lineRule="auto"/>
        <w:ind w:left="432" w:hanging="432"/>
        <w:jc w:val="both"/>
      </w:pPr>
      <w:r>
        <w:rPr>
          <w:rFonts w:ascii="Times New Roman" w:hAnsi="Times New Roman"/>
          <w:b w:val="0"/>
          <w:i w:val="0"/>
          <w:sz w:val="16"/>
        </w:rPr>
        <w:t>[43]</w:t>
        <w:tab/>
      </w:r>
      <w:r>
        <w:rPr>
          <w:rFonts w:ascii="Times New Roman" w:hAnsi="Times New Roman"/>
          <w:b w:val="0"/>
          <w:i w:val="0"/>
          <w:sz w:val="16"/>
        </w:rPr>
        <w:t xml:space="preserve">R. Ciric, W. H. Thompson, R. Lorenz et al., “TemplateFlow: FAIR-sharing of multi-scale, multi-species brain models,” </w:t>
      </w:r>
      <w:r>
        <w:rPr>
          <w:rFonts w:ascii="Times New Roman" w:hAnsi="Times New Roman"/>
          <w:b w:val="0"/>
          <w:i/>
          <w:sz w:val="16"/>
        </w:rPr>
        <w:t>Nature Methods</w:t>
      </w:r>
      <w:r>
        <w:rPr>
          <w:rFonts w:ascii="Times New Roman" w:hAnsi="Times New Roman"/>
          <w:b w:val="0"/>
          <w:i w:val="0"/>
          <w:sz w:val="16"/>
        </w:rPr>
        <w:t>, vol. 19, pp. 1568–1571, 2022.</w:t>
      </w:r>
    </w:p>
    <w:p>
      <w:pPr>
        <w:keepNext w:val="0"/>
        <w:tabs>
          <w:tab w:pos="432" w:val="left"/>
        </w:tabs>
        <w:spacing w:before="0" w:after="20" w:line="240" w:lineRule="auto"/>
        <w:ind w:left="432" w:hanging="432"/>
        <w:jc w:val="both"/>
      </w:pPr>
      <w:r>
        <w:rPr>
          <w:rFonts w:ascii="Times New Roman" w:hAnsi="Times New Roman"/>
          <w:b w:val="0"/>
          <w:i w:val="0"/>
          <w:sz w:val="16"/>
        </w:rPr>
        <w:t>[44]</w:t>
        <w:tab/>
      </w:r>
      <w:r>
        <w:rPr>
          <w:rFonts w:ascii="Times New Roman" w:hAnsi="Times New Roman"/>
          <w:b w:val="0"/>
          <w:i w:val="0"/>
          <w:sz w:val="16"/>
        </w:rPr>
        <w:t xml:space="preserve">I. Loshchilov and F. Hutter, “Decoupled weight decay regularization,” </w:t>
      </w:r>
      <w:r>
        <w:rPr>
          <w:rFonts w:ascii="Times New Roman" w:hAnsi="Times New Roman"/>
          <w:b w:val="0"/>
          <w:i w:val="0"/>
          <w:sz w:val="16"/>
        </w:rPr>
        <w:t xml:space="preserve">in </w:t>
      </w:r>
      <w:r>
        <w:rPr>
          <w:rFonts w:ascii="Times New Roman" w:hAnsi="Times New Roman"/>
          <w:b w:val="0"/>
          <w:i/>
          <w:sz w:val="16"/>
        </w:rPr>
        <w:t>Proc. International Conference on Learning Representations (ICLR)</w:t>
      </w:r>
      <w:r>
        <w:rPr>
          <w:rFonts w:ascii="Times New Roman" w:hAnsi="Times New Roman"/>
          <w:b w:val="0"/>
          <w:i w:val="0"/>
          <w:sz w:val="16"/>
        </w:rPr>
        <w:t>, 2019.</w:t>
      </w:r>
    </w:p>
    <w:p>
      <w:pPr>
        <w:keepNext w:val="0"/>
        <w:tabs>
          <w:tab w:pos="432" w:val="left"/>
        </w:tabs>
        <w:spacing w:before="0" w:after="20" w:line="240" w:lineRule="auto"/>
        <w:ind w:left="432" w:hanging="432"/>
        <w:jc w:val="both"/>
      </w:pPr>
      <w:r>
        <w:rPr>
          <w:rFonts w:ascii="Times New Roman" w:hAnsi="Times New Roman"/>
          <w:b w:val="0"/>
          <w:i w:val="0"/>
          <w:sz w:val="16"/>
        </w:rPr>
        <w:t>[45]</w:t>
        <w:tab/>
      </w:r>
      <w:r>
        <w:rPr>
          <w:rFonts w:ascii="Times New Roman" w:hAnsi="Times New Roman"/>
          <w:b w:val="0"/>
          <w:i w:val="0"/>
          <w:sz w:val="16"/>
        </w:rPr>
        <w:t xml:space="preserve">J. G. MacKinnon and H. White, “Some heteroskedasticity-consistent covariance matrix estimators with improved finite sample properties,” </w:t>
      </w:r>
      <w:r>
        <w:rPr>
          <w:rFonts w:ascii="Times New Roman" w:hAnsi="Times New Roman"/>
          <w:b w:val="0"/>
          <w:i/>
          <w:sz w:val="16"/>
        </w:rPr>
        <w:t>Journal of Econometrics</w:t>
      </w:r>
      <w:r>
        <w:rPr>
          <w:rFonts w:ascii="Times New Roman" w:hAnsi="Times New Roman"/>
          <w:b w:val="0"/>
          <w:i w:val="0"/>
          <w:sz w:val="16"/>
        </w:rPr>
        <w:t>, vol. 29, no. 3, pp. 305–325, 1985.</w:t>
      </w:r>
    </w:p>
    <w:p>
      <w:pPr>
        <w:keepNext w:val="0"/>
        <w:tabs>
          <w:tab w:pos="432" w:val="left"/>
        </w:tabs>
        <w:spacing w:before="0" w:after="20" w:line="240" w:lineRule="auto"/>
        <w:ind w:left="432" w:hanging="432"/>
        <w:jc w:val="both"/>
      </w:pPr>
      <w:r>
        <w:rPr>
          <w:rFonts w:ascii="Times New Roman" w:hAnsi="Times New Roman"/>
          <w:b w:val="0"/>
          <w:i w:val="0"/>
          <w:sz w:val="16"/>
        </w:rPr>
        <w:t>[46]</w:t>
        <w:tab/>
      </w:r>
      <w:r>
        <w:rPr>
          <w:rFonts w:ascii="Times New Roman" w:hAnsi="Times New Roman"/>
          <w:b w:val="0"/>
          <w:i w:val="0"/>
          <w:sz w:val="16"/>
        </w:rPr>
        <w:t xml:space="preserve">B. Efron and R. J. Tibshirani, </w:t>
      </w:r>
      <w:r>
        <w:rPr>
          <w:rFonts w:ascii="Times New Roman" w:hAnsi="Times New Roman"/>
          <w:b w:val="0"/>
          <w:i/>
          <w:sz w:val="16"/>
        </w:rPr>
        <w:t>An Introduction to the Bootstrap</w:t>
      </w:r>
      <w:r>
        <w:rPr>
          <w:rFonts w:ascii="Times New Roman" w:hAnsi="Times New Roman"/>
          <w:b w:val="0"/>
          <w:i w:val="0"/>
          <w:sz w:val="16"/>
        </w:rPr>
        <w:t>. New York: Chapman &amp; Hall, 1993.</w:t>
      </w:r>
    </w:p>
    <w:p>
      <w:pPr>
        <w:keepNext w:val="0"/>
        <w:tabs>
          <w:tab w:pos="432" w:val="left"/>
        </w:tabs>
        <w:spacing w:before="0" w:after="20" w:line="240" w:lineRule="auto"/>
        <w:ind w:left="432" w:hanging="432"/>
        <w:jc w:val="both"/>
      </w:pPr>
      <w:r>
        <w:rPr>
          <w:rFonts w:ascii="Times New Roman" w:hAnsi="Times New Roman"/>
          <w:b w:val="0"/>
          <w:i w:val="0"/>
          <w:sz w:val="16"/>
        </w:rPr>
        <w:t>[47]</w:t>
        <w:tab/>
      </w:r>
      <w:r>
        <w:rPr>
          <w:rFonts w:ascii="Times New Roman" w:hAnsi="Times New Roman"/>
          <w:b w:val="0"/>
          <w:i w:val="0"/>
          <w:sz w:val="16"/>
        </w:rPr>
        <w:t xml:space="preserve">D. J. Schuirmann, “A comparison of the two one-sided tests procedure and the power approach for assessing the equivalence of average bioavailability,” </w:t>
      </w:r>
      <w:r>
        <w:rPr>
          <w:rFonts w:ascii="Times New Roman" w:hAnsi="Times New Roman"/>
          <w:b w:val="0"/>
          <w:i/>
          <w:sz w:val="16"/>
        </w:rPr>
        <w:t>Journal of Pharmacokinetics and Biopharmaceutics</w:t>
      </w:r>
      <w:r>
        <w:rPr>
          <w:rFonts w:ascii="Times New Roman" w:hAnsi="Times New Roman"/>
          <w:b w:val="0"/>
          <w:i w:val="0"/>
          <w:sz w:val="16"/>
        </w:rPr>
        <w:t>, vol. 15, no. 6, pp. 657–680, 1987.</w:t>
      </w:r>
    </w:p>
    <w:p>
      <w:pPr>
        <w:keepNext w:val="0"/>
        <w:tabs>
          <w:tab w:pos="432" w:val="left"/>
        </w:tabs>
        <w:spacing w:before="0" w:after="20" w:line="240" w:lineRule="auto"/>
        <w:ind w:left="432" w:hanging="432"/>
        <w:jc w:val="both"/>
      </w:pPr>
      <w:r>
        <w:rPr>
          <w:rFonts w:ascii="Times New Roman" w:hAnsi="Times New Roman"/>
          <w:b w:val="0"/>
          <w:i w:val="0"/>
          <w:sz w:val="16"/>
        </w:rPr>
        <w:t>[48]</w:t>
        <w:tab/>
      </w:r>
      <w:r>
        <w:rPr>
          <w:rFonts w:ascii="Times New Roman" w:hAnsi="Times New Roman"/>
          <w:b w:val="0"/>
          <w:i w:val="0"/>
          <w:sz w:val="16"/>
        </w:rPr>
        <w:t xml:space="preserve">S. Holm, “A simple sequentially rejective multiple test procedure,” </w:t>
      </w:r>
      <w:r>
        <w:rPr>
          <w:rFonts w:ascii="Times New Roman" w:hAnsi="Times New Roman"/>
          <w:b w:val="0"/>
          <w:i/>
          <w:sz w:val="16"/>
        </w:rPr>
        <w:t>Scandinavian Journal of Statistics</w:t>
      </w:r>
      <w:r>
        <w:rPr>
          <w:rFonts w:ascii="Times New Roman" w:hAnsi="Times New Roman"/>
          <w:b w:val="0"/>
          <w:i w:val="0"/>
          <w:sz w:val="16"/>
        </w:rPr>
        <w:t>, vol. 6, no. 2, pp. 65–70, 1979.</w:t>
      </w:r>
    </w:p>
    <w:p>
      <w:pPr>
        <w:keepNext w:val="0"/>
        <w:tabs>
          <w:tab w:pos="432" w:val="left"/>
        </w:tabs>
        <w:spacing w:before="0" w:after="20" w:line="240" w:lineRule="auto"/>
        <w:ind w:left="432" w:hanging="432"/>
        <w:jc w:val="both"/>
      </w:pPr>
      <w:r>
        <w:rPr>
          <w:rFonts w:ascii="Times New Roman" w:hAnsi="Times New Roman"/>
          <w:b w:val="0"/>
          <w:i w:val="0"/>
          <w:sz w:val="16"/>
        </w:rPr>
        <w:t>[49]</w:t>
        <w:tab/>
      </w:r>
      <w:r>
        <w:rPr>
          <w:rFonts w:ascii="Times New Roman" w:hAnsi="Times New Roman"/>
          <w:b w:val="0"/>
          <w:i w:val="0"/>
          <w:sz w:val="16"/>
        </w:rPr>
        <w:t xml:space="preserve">S. D. Forman, J. D. Cohen, M. Fitzgerald, W. F. Eddy, M. A. Mintun, and D. C. Noll, “Improved assessment of significant activation in functional magnetic resonance imaging (fMRI): use of a cluster-size threshold,” </w:t>
      </w:r>
      <w:r>
        <w:rPr>
          <w:rFonts w:ascii="Times New Roman" w:hAnsi="Times New Roman"/>
          <w:b w:val="0"/>
          <w:i/>
          <w:sz w:val="16"/>
        </w:rPr>
        <w:t>Magnetic Resonance in Medicine</w:t>
      </w:r>
      <w:r>
        <w:rPr>
          <w:rFonts w:ascii="Times New Roman" w:hAnsi="Times New Roman"/>
          <w:b w:val="0"/>
          <w:i w:val="0"/>
          <w:sz w:val="16"/>
        </w:rPr>
        <w:t>, vol. 33, no. 5, pp. 636–647, 1995.</w:t>
      </w:r>
    </w:p>
    <w:p>
      <w:pPr>
        <w:keepNext w:val="0"/>
        <w:tabs>
          <w:tab w:pos="432" w:val="left"/>
        </w:tabs>
        <w:spacing w:before="0" w:after="20" w:line="240" w:lineRule="auto"/>
        <w:ind w:left="432" w:hanging="432"/>
        <w:jc w:val="both"/>
      </w:pPr>
      <w:r>
        <w:rPr>
          <w:rFonts w:ascii="Times New Roman" w:hAnsi="Times New Roman"/>
          <w:b w:val="0"/>
          <w:i w:val="0"/>
          <w:sz w:val="16"/>
        </w:rPr>
        <w:t>[50]</w:t>
        <w:tab/>
      </w:r>
      <w:r>
        <w:rPr>
          <w:rFonts w:ascii="Times New Roman" w:hAnsi="Times New Roman"/>
          <w:b w:val="0"/>
          <w:i w:val="0"/>
          <w:sz w:val="16"/>
        </w:rPr>
        <w:t xml:space="preserve">M. Jenkinson, C. F. Beckmann, T. E. J. Behrens, M. W. Woolrich, and S. M. Smith, “FSL,” </w:t>
      </w:r>
      <w:r>
        <w:rPr>
          <w:rFonts w:ascii="Times New Roman" w:hAnsi="Times New Roman"/>
          <w:b w:val="0"/>
          <w:i/>
          <w:sz w:val="16"/>
        </w:rPr>
        <w:t>NeuroImage</w:t>
      </w:r>
      <w:r>
        <w:rPr>
          <w:rFonts w:ascii="Times New Roman" w:hAnsi="Times New Roman"/>
          <w:b w:val="0"/>
          <w:i w:val="0"/>
          <w:sz w:val="16"/>
        </w:rPr>
        <w:t>, vol. 62, no. 2, pp. 782–790, 2012.</w:t>
      </w:r>
    </w:p>
    <w:p>
      <w:pPr>
        <w:keepNext w:val="0"/>
        <w:tabs>
          <w:tab w:pos="432" w:val="left"/>
        </w:tabs>
        <w:spacing w:before="0" w:after="20" w:line="240" w:lineRule="auto"/>
        <w:ind w:left="432" w:hanging="432"/>
        <w:jc w:val="both"/>
      </w:pPr>
      <w:r>
        <w:rPr>
          <w:rFonts w:ascii="Times New Roman" w:hAnsi="Times New Roman"/>
          <w:b w:val="0"/>
          <w:i w:val="0"/>
          <w:sz w:val="16"/>
        </w:rPr>
        <w:t>[51]</w:t>
        <w:tab/>
      </w:r>
      <w:r>
        <w:rPr>
          <w:rFonts w:ascii="Times New Roman" w:hAnsi="Times New Roman"/>
          <w:b w:val="0"/>
          <w:i w:val="0"/>
          <w:sz w:val="16"/>
        </w:rPr>
        <w:t xml:space="preserve">Y. Benjamini and Y. Hochberg, “Controlling the false discovery rate: a practical and powerful approach to multiple testing,” </w:t>
      </w:r>
      <w:r>
        <w:rPr>
          <w:rFonts w:ascii="Times New Roman" w:hAnsi="Times New Roman"/>
          <w:b w:val="0"/>
          <w:i/>
          <w:sz w:val="16"/>
        </w:rPr>
        <w:t>Journal of the Royal Statistical Society: Series B</w:t>
      </w:r>
      <w:r>
        <w:rPr>
          <w:rFonts w:ascii="Times New Roman" w:hAnsi="Times New Roman"/>
          <w:b w:val="0"/>
          <w:i w:val="0"/>
          <w:sz w:val="16"/>
        </w:rPr>
        <w:t>, vol. 57, no. 1, pp. 289–300, 1995.</w:t>
      </w:r>
    </w:p>
    <w:sectPr w:rsidR="00FC693F" w:rsidRPr="0006063C" w:rsidSect="00034616">
      <w:type w:val="continuous"/>
      <w:pgSz w:w="12240" w:h="15840"/>
      <w:pgMar w:top="1080" w:right="965" w:bottom="1440" w:left="96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