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rFonts w:ascii="Arial" w:hAnsi="Arial" w:eastAsia="Arial" w:cs="Arial"/>
          <w:color w:val="000000"/>
          <w:sz w:val="16"/>
          <w:szCs w:val="18"/>
        </w:rPr>
      </w:pPr>
      <w:r>
        <w:rPr>
          <w:rFonts w:ascii="Arial" w:hAnsi="Arial" w:eastAsia="Arial" w:cs="Arial"/>
          <w:sz w:val="16"/>
          <w:szCs w:val="18"/>
        </w:rPr>
        <w:t>Yo</w:t>
      </w:r>
      <w:r>
        <w:rPr>
          <w:rFonts w:ascii="Arial" w:hAnsi="Arial" w:eastAsia="Arial" w:cs="Arial"/>
          <w:b/>
          <w:sz w:val="16"/>
          <w:szCs w:val="18"/>
        </w:rPr>
        <w:t xml:space="preserve"> RICARDO GARCIA DUARTE </w:t>
      </w:r>
      <w:r>
        <w:rPr>
          <w:rFonts w:ascii="Arial" w:hAnsi="Arial" w:eastAsia="Arial" w:cs="Arial"/>
          <w:sz w:val="16"/>
          <w:szCs w:val="18"/>
        </w:rPr>
        <w:t xml:space="preserve">en calidad de Ordenador del Gasto del (los) Rubro(s) con Disponibilidad Presupuestal N° </w:t>
      </w:r>
      <w:r>
        <w:rPr>
          <w:rFonts w:ascii="Arial" w:hAnsi="Arial" w:eastAsia="Arial" w:cs="Arial"/>
          <w:b/>
          <w:sz w:val="16"/>
          <w:szCs w:val="18"/>
        </w:rPr>
        <w:t>3008</w:t>
      </w:r>
      <w:r>
        <w:rPr>
          <w:rFonts w:ascii="Arial" w:hAnsi="Arial" w:eastAsia="Arial" w:cs="Arial"/>
          <w:sz w:val="16"/>
          <w:szCs w:val="18"/>
        </w:rPr>
        <w:t xml:space="preserve"> del 26 de septiembre de 2018 y Certificado de Registro Presupuestal N° </w:t>
      </w:r>
      <w:r>
        <w:rPr>
          <w:rFonts w:ascii="Arial" w:hAnsi="Arial" w:eastAsia="Arial" w:cs="Arial"/>
          <w:b/>
          <w:sz w:val="16"/>
          <w:szCs w:val="18"/>
        </w:rPr>
        <w:t>9155</w:t>
      </w:r>
      <w:r>
        <w:rPr>
          <w:rFonts w:ascii="Arial" w:hAnsi="Arial" w:eastAsia="Arial" w:cs="Arial"/>
          <w:sz w:val="16"/>
          <w:szCs w:val="18"/>
        </w:rPr>
        <w:t xml:space="preserve"> del 28 de diciembre de 2018, anexo los documentos detallados en la presente, como soporte a la orden de pago correspondiente.</w:t>
      </w:r>
    </w:p>
    <w:tbl>
      <w:tblPr>
        <w:tblStyle w:val="31"/>
        <w:tblW w:w="7595" w:type="dxa"/>
        <w:jc w:val="center"/>
        <w:tblInd w:w="0" w:type="dxa"/>
        <w:tbl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single" w:color="78C0D4" w:sz="8" w:space="0"/>
          <w:insideV w:val="single" w:color="78C0D4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521"/>
        <w:gridCol w:w="1074"/>
      </w:tblGrid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  <w:t>DOCUMENTO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Orden o Contrato de Prestación de Servicio (para el primer pago).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 xml:space="preserve">Certificados de Disponibilidad Presupuestal 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  <w:t>CDP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 xml:space="preserve">Certificado de Registro Presupuestal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  <w:t>CRP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Actas de aprobación póliza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Póliza y Actualización Póliza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 xml:space="preserve">Acta de inicio 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Cumplido a satisfacción por parte del supervisor.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 xml:space="preserve">Acta de finalización 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 xml:space="preserve">Cronograma de actividades 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Evaluación de proveedores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 xml:space="preserve">Factura Original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Entrada almacén de bienes devolutivos.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Informes de Actividades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Acta de Capacitación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Acta de liquidación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Pólizas acordadas en el contrato y en el presupuesto para los anticipos.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  <w:t>OTROS DOCUMENTOS (DETALLAR)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 xml:space="preserve">Cámara de Comercio 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  <w:highlight w:val="yellow"/>
              </w:rPr>
            </w:pPr>
            <w:bookmarkStart w:id="1" w:name="_GoBack"/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 xml:space="preserve">Certificación Bancaria 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bookmarkEnd w:id="1"/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 xml:space="preserve">Cedula Representante Legal 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Certificado aportes parafiscales, Copia Tarjeta Profesional y Cédula del revisor fiscal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6521" w:type="dxa"/>
            <w:shd w:val="clear" w:color="auto" w:fill="D2EAF0"/>
            <w:vAlign w:val="center"/>
          </w:tcPr>
          <w:p>
            <w:pPr>
              <w:spacing w:after="0" w:line="276" w:lineRule="auto"/>
              <w:rPr>
                <w:rFonts w:ascii="Arial" w:hAnsi="Arial" w:eastAsia="Arial" w:cs="Arial"/>
                <w:color w:val="000000"/>
                <w:sz w:val="16"/>
                <w:szCs w:val="18"/>
                <w:highlight w:val="yellow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Registro Único Tributario (RUT).</w:t>
            </w:r>
          </w:p>
        </w:tc>
        <w:tc>
          <w:tcPr>
            <w:tcW w:w="1074" w:type="dxa"/>
            <w:shd w:val="clear" w:color="auto" w:fill="D2EAF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8"/>
              </w:rPr>
              <w:t>X</w:t>
            </w:r>
          </w:p>
        </w:tc>
      </w:tr>
    </w:tbl>
    <w:p>
      <w:pPr>
        <w:spacing w:after="0"/>
        <w:jc w:val="both"/>
        <w:rPr>
          <w:rFonts w:ascii="Arial" w:hAnsi="Arial" w:eastAsia="Arial" w:cs="Arial"/>
          <w:b/>
          <w:color w:val="FFFFFF"/>
          <w:sz w:val="18"/>
          <w:szCs w:val="20"/>
        </w:rPr>
      </w:pPr>
    </w:p>
    <w:p>
      <w:pPr>
        <w:spacing w:after="0"/>
        <w:jc w:val="both"/>
        <w:rPr>
          <w:rFonts w:ascii="Arial" w:hAnsi="Arial" w:eastAsia="Arial" w:cs="Arial"/>
          <w:color w:val="000000"/>
          <w:sz w:val="16"/>
          <w:szCs w:val="18"/>
        </w:rPr>
      </w:pPr>
      <w:r>
        <w:rPr>
          <w:rFonts w:ascii="Arial" w:hAnsi="Arial" w:eastAsia="Arial" w:cs="Arial"/>
          <w:color w:val="000000"/>
          <w:sz w:val="16"/>
          <w:szCs w:val="18"/>
        </w:rPr>
        <w:t xml:space="preserve">Autorizo a la Tesorería General a girar a favor de </w:t>
      </w:r>
      <w:r>
        <w:rPr>
          <w:rFonts w:ascii="Arial" w:hAnsi="Arial" w:eastAsia="Arial" w:cs="Arial"/>
          <w:b/>
          <w:color w:val="000000"/>
          <w:sz w:val="16"/>
          <w:szCs w:val="18"/>
        </w:rPr>
        <w:t>SUMINISTROS Y CONTROLES ELECTRÓNICOS S.A.</w:t>
      </w:r>
      <w:r>
        <w:rPr>
          <w:rFonts w:ascii="Arial" w:hAnsi="Arial" w:eastAsia="Arial" w:cs="Arial"/>
          <w:sz w:val="16"/>
          <w:szCs w:val="18"/>
        </w:rPr>
        <w:t xml:space="preserve"> </w:t>
      </w:r>
      <w:r>
        <w:rPr>
          <w:rFonts w:ascii="Arial" w:hAnsi="Arial" w:eastAsia="Arial" w:cs="Arial"/>
          <w:color w:val="000000"/>
          <w:sz w:val="16"/>
          <w:szCs w:val="18"/>
        </w:rPr>
        <w:t xml:space="preserve">con NIT N° </w:t>
      </w:r>
      <w:r>
        <w:rPr>
          <w:rFonts w:ascii="Arial" w:hAnsi="Arial" w:eastAsia="Arial" w:cs="Arial"/>
          <w:b/>
          <w:color w:val="000000"/>
          <w:sz w:val="16"/>
          <w:szCs w:val="18"/>
        </w:rPr>
        <w:t>890.943.055-0,</w:t>
      </w:r>
      <w:r>
        <w:rPr>
          <w:rFonts w:ascii="Arial" w:hAnsi="Arial" w:eastAsia="Arial" w:cs="Arial"/>
          <w:color w:val="000000"/>
          <w:sz w:val="16"/>
          <w:szCs w:val="18"/>
        </w:rPr>
        <w:t xml:space="preserve"> bajo el contrato </w:t>
      </w:r>
      <w:r>
        <w:rPr>
          <w:rFonts w:ascii="Arial" w:hAnsi="Arial" w:eastAsia="Arial" w:cs="Arial"/>
          <w:b/>
          <w:color w:val="000000"/>
          <w:sz w:val="16"/>
          <w:szCs w:val="18"/>
        </w:rPr>
        <w:t>1895</w:t>
      </w:r>
      <w:r>
        <w:rPr>
          <w:rFonts w:ascii="Arial" w:hAnsi="Arial" w:eastAsia="Arial" w:cs="Arial"/>
          <w:color w:val="000000"/>
          <w:sz w:val="16"/>
          <w:szCs w:val="18"/>
        </w:rPr>
        <w:t xml:space="preserve"> de 2018 para realizar el giro una vez sean deducidos los descuentos de Ley correspondientes. El valor bruto de la presente autorización es de </w:t>
      </w:r>
      <w:r>
        <w:rPr>
          <w:rFonts w:ascii="Arial" w:hAnsi="Arial" w:eastAsia="Arial" w:cs="Arial"/>
          <w:b/>
          <w:color w:val="000000"/>
          <w:sz w:val="16"/>
          <w:szCs w:val="18"/>
        </w:rPr>
        <w:t>CIENTO OCHO MILLONES SEISCIENTOS SESENTA Y CUATRO MIL DOSCIENTOS OCHENTA Y UN PESOS M/CTE ($108.664.281)</w:t>
      </w:r>
    </w:p>
    <w:p>
      <w:pPr>
        <w:spacing w:after="0"/>
        <w:jc w:val="center"/>
        <w:rPr>
          <w:rFonts w:ascii="Arial" w:hAnsi="Arial" w:eastAsia="Arial" w:cs="Arial"/>
          <w:color w:val="000000"/>
          <w:sz w:val="18"/>
          <w:szCs w:val="20"/>
        </w:rPr>
      </w:pPr>
    </w:p>
    <w:p>
      <w:pPr>
        <w:spacing w:after="0"/>
        <w:jc w:val="center"/>
        <w:rPr>
          <w:rFonts w:ascii="Arial" w:hAnsi="Arial" w:eastAsia="Arial" w:cs="Arial"/>
          <w:color w:val="000000"/>
          <w:sz w:val="18"/>
          <w:szCs w:val="20"/>
        </w:rPr>
      </w:pPr>
    </w:p>
    <w:p>
      <w:pPr>
        <w:spacing w:after="0"/>
        <w:jc w:val="center"/>
        <w:rPr>
          <w:rFonts w:ascii="Arial" w:hAnsi="Arial" w:eastAsia="Arial" w:cs="Arial"/>
          <w:color w:val="000000"/>
          <w:sz w:val="18"/>
          <w:szCs w:val="20"/>
        </w:rPr>
      </w:pPr>
    </w:p>
    <w:p>
      <w:pPr>
        <w:spacing w:after="0"/>
        <w:jc w:val="center"/>
        <w:rPr>
          <w:rFonts w:ascii="Arial" w:hAnsi="Arial" w:eastAsia="Arial" w:cs="Arial"/>
          <w:color w:val="000000"/>
          <w:sz w:val="18"/>
          <w:szCs w:val="20"/>
        </w:rPr>
      </w:pPr>
      <w:r>
        <w:rPr>
          <w:rFonts w:ascii="Arial" w:hAnsi="Arial" w:eastAsia="Arial" w:cs="Arial"/>
          <w:color w:val="000000"/>
          <w:sz w:val="18"/>
          <w:szCs w:val="20"/>
        </w:rPr>
        <w:t>__________________________</w:t>
      </w:r>
      <w:r>
        <w:rPr>
          <w:rFonts w:ascii="Arial" w:hAnsi="Arial" w:eastAsia="Arial" w:cs="Arial"/>
          <w:color w:val="000000"/>
          <w:sz w:val="18"/>
          <w:szCs w:val="20"/>
        </w:rPr>
        <w:br w:type="textWrapping"/>
      </w:r>
      <w:r>
        <w:rPr>
          <w:rFonts w:ascii="Arial" w:hAnsi="Arial" w:eastAsia="Arial" w:cs="Arial"/>
          <w:b/>
          <w:sz w:val="16"/>
          <w:szCs w:val="18"/>
        </w:rPr>
        <w:t>RICARDO GARCIA DUARTE</w:t>
      </w:r>
    </w:p>
    <w:p>
      <w:pPr>
        <w:jc w:val="center"/>
        <w:rPr>
          <w:rFonts w:ascii="Arial" w:hAnsi="Arial" w:eastAsia="Arial" w:cs="Arial"/>
          <w:color w:val="000000"/>
          <w:sz w:val="14"/>
          <w:szCs w:val="16"/>
        </w:rPr>
      </w:pPr>
      <w:bookmarkStart w:id="0" w:name="_gjdgxs" w:colFirst="0" w:colLast="0"/>
      <w:bookmarkEnd w:id="0"/>
      <w:r>
        <w:rPr>
          <w:rFonts w:ascii="Arial" w:hAnsi="Arial" w:eastAsia="Arial" w:cs="Arial"/>
          <w:color w:val="000000"/>
          <w:sz w:val="18"/>
          <w:szCs w:val="20"/>
        </w:rPr>
        <w:t>Rector</w:t>
      </w:r>
    </w:p>
    <w:tbl>
      <w:tblPr>
        <w:tblStyle w:val="32"/>
        <w:tblW w:w="8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646"/>
        <w:gridCol w:w="2767"/>
        <w:gridCol w:w="2939"/>
        <w:gridCol w:w="1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ahoma" w:hAnsi="Tahoma" w:eastAsia="Tahoma" w:cs="Tahoma"/>
                <w:sz w:val="10"/>
                <w:szCs w:val="12"/>
              </w:rPr>
            </w:pP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eastAsia="Tahoma" w:cs="Tahoma"/>
                <w:sz w:val="10"/>
                <w:szCs w:val="12"/>
              </w:rPr>
            </w:pPr>
            <w:r>
              <w:rPr>
                <w:rFonts w:ascii="Tahoma" w:hAnsi="Tahoma" w:eastAsia="Tahoma" w:cs="Tahoma"/>
                <w:sz w:val="10"/>
                <w:szCs w:val="12"/>
              </w:rPr>
              <w:t>Nombre</w:t>
            </w:r>
          </w:p>
        </w:tc>
        <w:tc>
          <w:tcPr>
            <w:tcW w:w="2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eastAsia="Tahoma" w:cs="Tahoma"/>
                <w:sz w:val="10"/>
                <w:szCs w:val="12"/>
              </w:rPr>
            </w:pPr>
            <w:r>
              <w:rPr>
                <w:rFonts w:ascii="Tahoma" w:hAnsi="Tahoma" w:eastAsia="Tahoma" w:cs="Tahoma"/>
                <w:sz w:val="10"/>
                <w:szCs w:val="12"/>
              </w:rPr>
              <w:t>Cargo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eastAsia="Tahoma" w:cs="Tahoma"/>
                <w:sz w:val="10"/>
                <w:szCs w:val="12"/>
              </w:rPr>
            </w:pPr>
            <w:r>
              <w:rPr>
                <w:rFonts w:ascii="Tahoma" w:hAnsi="Tahoma" w:eastAsia="Tahoma" w:cs="Tahoma"/>
                <w:sz w:val="10"/>
                <w:szCs w:val="12"/>
              </w:rPr>
              <w:t>Firma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ahoma" w:hAnsi="Tahoma" w:eastAsia="Tahoma" w:cs="Tahoma"/>
                <w:sz w:val="10"/>
                <w:szCs w:val="12"/>
              </w:rPr>
            </w:pPr>
            <w:r>
              <w:rPr>
                <w:rFonts w:ascii="Tahoma" w:hAnsi="Tahoma" w:eastAsia="Tahoma" w:cs="Tahoma"/>
                <w:sz w:val="10"/>
                <w:szCs w:val="12"/>
              </w:rPr>
              <w:t>PROYECTÓ</w:t>
            </w: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eastAsia="Tahoma" w:cs="Tahoma"/>
                <w:sz w:val="10"/>
                <w:szCs w:val="12"/>
              </w:rPr>
            </w:pPr>
            <w:r>
              <w:rPr>
                <w:rFonts w:ascii="Tahoma" w:hAnsi="Tahoma" w:eastAsia="Tahoma" w:cs="Tahoma"/>
                <w:sz w:val="10"/>
                <w:szCs w:val="12"/>
              </w:rPr>
              <w:t>Javier Andrés Muñoz</w:t>
            </w:r>
          </w:p>
        </w:tc>
        <w:tc>
          <w:tcPr>
            <w:tcW w:w="2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eastAsia="Tahoma" w:cs="Tahoma"/>
                <w:sz w:val="10"/>
                <w:szCs w:val="12"/>
              </w:rPr>
            </w:pPr>
            <w:r>
              <w:rPr>
                <w:rFonts w:ascii="Tahoma" w:hAnsi="Tahoma" w:eastAsia="Tahoma" w:cs="Tahoma"/>
                <w:sz w:val="10"/>
                <w:szCs w:val="12"/>
              </w:rPr>
              <w:t>C.P.S. Laboratorio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eastAsia="Tahoma" w:cs="Tahoma"/>
                <w:sz w:val="10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0" w:hRule="atLeast"/>
        </w:trPr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ahoma" w:hAnsi="Tahoma" w:eastAsia="Tahoma" w:cs="Tahoma"/>
                <w:sz w:val="10"/>
                <w:szCs w:val="12"/>
              </w:rPr>
            </w:pPr>
            <w:r>
              <w:rPr>
                <w:rFonts w:ascii="Tahoma" w:hAnsi="Tahoma" w:eastAsia="Tahoma" w:cs="Tahoma"/>
                <w:sz w:val="10"/>
                <w:szCs w:val="12"/>
              </w:rPr>
              <w:t>REVISÓ</w:t>
            </w: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eastAsia="SimSun"/>
                <w:sz w:val="14"/>
                <w:szCs w:val="14"/>
              </w:rPr>
            </w:pPr>
            <w:r>
              <w:rPr>
                <w:rFonts w:ascii="Tahoma" w:hAnsi="Tahoma" w:eastAsia="Tahoma" w:cs="Tahoma"/>
                <w:sz w:val="10"/>
                <w:szCs w:val="12"/>
              </w:rPr>
              <w:t>Doris Marlene Olea Suarez</w:t>
            </w:r>
          </w:p>
        </w:tc>
        <w:tc>
          <w:tcPr>
            <w:tcW w:w="2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eastAsia="Tahoma" w:cs="Tahoma"/>
                <w:sz w:val="10"/>
                <w:szCs w:val="12"/>
              </w:rPr>
            </w:pPr>
            <w:r>
              <w:rPr>
                <w:rFonts w:ascii="Tahoma" w:hAnsi="Tahoma" w:eastAsia="Tahoma" w:cs="Tahoma"/>
                <w:sz w:val="10"/>
                <w:szCs w:val="12"/>
              </w:rPr>
              <w:t>Supervisor CCV 1895 de 2018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eastAsia="Tahoma" w:cs="Tahoma"/>
                <w:sz w:val="10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ahoma" w:hAnsi="Tahoma" w:eastAsia="Tahoma" w:cs="Tahoma"/>
                <w:sz w:val="10"/>
                <w:szCs w:val="12"/>
              </w:rPr>
            </w:pPr>
            <w:r>
              <w:rPr>
                <w:rFonts w:ascii="Tahoma" w:hAnsi="Tahoma" w:eastAsia="Tahoma" w:cs="Tahoma"/>
                <w:sz w:val="10"/>
                <w:szCs w:val="12"/>
              </w:rPr>
              <w:t>APROBÓ</w:t>
            </w:r>
          </w:p>
        </w:tc>
        <w:tc>
          <w:tcPr>
            <w:tcW w:w="2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eastAsia="Tahoma" w:cs="Tahoma"/>
                <w:sz w:val="10"/>
                <w:szCs w:val="12"/>
              </w:rPr>
            </w:pPr>
            <w:r>
              <w:rPr>
                <w:rFonts w:ascii="Tahoma" w:hAnsi="Tahoma" w:eastAsia="Tahoma" w:cs="Tahoma"/>
                <w:sz w:val="10"/>
                <w:szCs w:val="12"/>
              </w:rPr>
              <w:t>Álvaro Espinel Ortega</w:t>
            </w:r>
          </w:p>
        </w:tc>
        <w:tc>
          <w:tcPr>
            <w:tcW w:w="2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eastAsia="Tahoma" w:cs="Tahoma"/>
                <w:sz w:val="10"/>
                <w:szCs w:val="12"/>
              </w:rPr>
            </w:pPr>
            <w:r>
              <w:rPr>
                <w:rFonts w:ascii="Tahoma" w:hAnsi="Tahoma" w:eastAsia="Tahoma" w:cs="Tahoma"/>
                <w:sz w:val="10"/>
                <w:szCs w:val="12"/>
              </w:rPr>
              <w:t>Vicerrector Administrativo y Financiero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eastAsia="Tahoma" w:cs="Tahoma"/>
                <w:sz w:val="10"/>
                <w:szCs w:val="12"/>
              </w:rPr>
            </w:pPr>
          </w:p>
        </w:tc>
      </w:tr>
    </w:tbl>
    <w:p>
      <w:pPr>
        <w:rPr>
          <w:rFonts w:ascii="Arial" w:hAnsi="Arial" w:eastAsia="Arial" w:cs="Arial"/>
          <w:sz w:val="20"/>
        </w:rPr>
      </w:pPr>
    </w:p>
    <w:sectPr>
      <w:headerReference r:id="rId5" w:type="default"/>
      <w:footerReference r:id="rId6" w:type="default"/>
      <w:pgSz w:w="12240" w:h="15840"/>
      <w:pgMar w:top="1276" w:right="1701" w:bottom="1417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center"/>
    </w:pPr>
    <w:r>
      <w:rPr>
        <w:sz w:val="19"/>
        <w:szCs w:val="19"/>
      </w:rPr>
      <w:t>Este documento es propiedad de la Universidad Distrital Francisco José de Caldas. Prohibida su reproducción por cualquier medio, sin previa autorización.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rFonts w:ascii="Arial" w:hAnsi="Arial" w:eastAsia="Arial" w:cs="Arial"/>
      </w:rPr>
    </w:pPr>
  </w:p>
  <w:tbl>
    <w:tblPr>
      <w:tblStyle w:val="33"/>
      <w:tblW w:w="8828" w:type="dxa"/>
      <w:tblInd w:w="0" w:type="dxa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933"/>
      <w:gridCol w:w="3398"/>
      <w:gridCol w:w="1873"/>
      <w:gridCol w:w="1624"/>
    </w:tblGrid>
    <w:tr>
      <w:tblPrEx>
        <w:tbl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single" w:color="78C0D4" w:sz="8" w:space="0"/>
          <w:insideV w:val="single" w:color="78C0D4" w:sz="8" w:space="0"/>
        </w:tblBorders>
        <w:tblLayout w:type="fixed"/>
      </w:tblPrEx>
      <w:tc>
        <w:tcPr>
          <w:tcW w:w="1933" w:type="dxa"/>
          <w:vMerge w:val="restart"/>
          <w:shd w:val="clear" w:color="auto" w:fill="D2EAF0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hAnsi="Calibri" w:eastAsia="Calibri" w:cs="Calibri"/>
              <w:color w:val="000000"/>
              <w:sz w:val="20"/>
              <w:szCs w:val="20"/>
            </w:rPr>
          </w:pPr>
          <w:r>
            <w:rPr>
              <w:rFonts w:ascii="Cambria" w:hAnsi="Cambria" w:eastAsia="Cambria" w:cs="Cambria"/>
              <w:color w:val="000000"/>
              <w:lang w:eastAsia="es-CO"/>
            </w:rPr>
            <w:drawing>
              <wp:inline distT="0" distB="0" distL="0" distR="0">
                <wp:extent cx="1093470" cy="773430"/>
                <wp:effectExtent l="0" t="0" r="0" b="0"/>
                <wp:docPr id="1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068" cy="774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8" w:type="dxa"/>
          <w:shd w:val="clear" w:color="auto" w:fill="D2EAF0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color w:val="000000"/>
              <w:sz w:val="20"/>
              <w:szCs w:val="20"/>
            </w:rPr>
            <w:t>AUTORIZACIÓN DE GIRO</w:t>
          </w:r>
        </w:p>
      </w:tc>
      <w:tc>
        <w:tcPr>
          <w:tcW w:w="1873" w:type="dxa"/>
          <w:shd w:val="clear" w:color="auto" w:fill="D2EAF0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color w:val="000000"/>
              <w:sz w:val="20"/>
              <w:szCs w:val="20"/>
            </w:rPr>
            <w:t>Código: GRF-PR-007-FR-005</w:t>
          </w:r>
        </w:p>
      </w:tc>
      <w:tc>
        <w:tcPr>
          <w:tcW w:w="1624" w:type="dxa"/>
          <w:vMerge w:val="restart"/>
          <w:shd w:val="clear" w:color="auto" w:fill="D2EAF0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hAnsi="Calibri" w:eastAsia="Calibri" w:cs="Calibri"/>
              <w:color w:val="000000"/>
              <w:sz w:val="20"/>
              <w:szCs w:val="20"/>
            </w:rPr>
          </w:pPr>
          <w:r>
            <w:rPr>
              <w:rFonts w:ascii="Cambria" w:hAnsi="Cambria" w:eastAsia="Cambria" w:cs="Cambria"/>
              <w:color w:val="000000"/>
              <w:lang w:eastAsia="es-CO"/>
            </w:rPr>
            <w:drawing>
              <wp:inline distT="0" distB="0" distL="0" distR="0">
                <wp:extent cx="866140" cy="252730"/>
                <wp:effectExtent l="0" t="0" r="0" b="0"/>
                <wp:docPr id="1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599" cy="253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single" w:color="78C0D4" w:sz="8" w:space="0"/>
          <w:insideV w:val="single" w:color="78C0D4" w:sz="8" w:space="0"/>
        </w:tblBorders>
        <w:tblLayout w:type="fixed"/>
      </w:tblPrEx>
      <w:tc>
        <w:tcPr>
          <w:tcW w:w="1933" w:type="dxa"/>
          <w:vMerge w:val="continue"/>
          <w:shd w:val="clear" w:color="auto" w:fill="D2EAF0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276" w:lineRule="auto"/>
            <w:rPr>
              <w:rFonts w:ascii="Calibri" w:hAnsi="Calibri" w:eastAsia="Calibri" w:cs="Calibri"/>
              <w:color w:val="000000"/>
              <w:sz w:val="20"/>
              <w:szCs w:val="20"/>
            </w:rPr>
          </w:pPr>
        </w:p>
      </w:tc>
      <w:tc>
        <w:tcPr>
          <w:tcW w:w="3398" w:type="dxa"/>
          <w:shd w:val="clear" w:color="auto" w:fill="D2EAF0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color w:val="000000"/>
              <w:sz w:val="20"/>
              <w:szCs w:val="20"/>
            </w:rPr>
            <w:t>Macroproceso: Gestión de Recursos</w:t>
          </w:r>
        </w:p>
      </w:tc>
      <w:tc>
        <w:tcPr>
          <w:tcW w:w="1873" w:type="dxa"/>
          <w:shd w:val="clear" w:color="auto" w:fill="D2EAF0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color w:val="000000"/>
              <w:sz w:val="20"/>
              <w:szCs w:val="20"/>
            </w:rPr>
            <w:t>Versión: 03</w:t>
          </w:r>
        </w:p>
      </w:tc>
      <w:tc>
        <w:tcPr>
          <w:tcW w:w="1624" w:type="dxa"/>
          <w:vMerge w:val="continue"/>
          <w:shd w:val="clear" w:color="auto" w:fill="D2EAF0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276" w:lineRule="auto"/>
            <w:rPr>
              <w:rFonts w:ascii="Arial" w:hAnsi="Arial" w:eastAsia="Arial" w:cs="Arial"/>
              <w:color w:val="000000"/>
              <w:sz w:val="20"/>
              <w:szCs w:val="20"/>
            </w:rPr>
          </w:pPr>
        </w:p>
      </w:tc>
    </w:tr>
    <w:tr>
      <w:tblPrEx>
        <w:tbl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single" w:color="78C0D4" w:sz="8" w:space="0"/>
          <w:insideV w:val="single" w:color="78C0D4" w:sz="8" w:space="0"/>
        </w:tblBorders>
        <w:tblLayout w:type="fixed"/>
      </w:tblPrEx>
      <w:tc>
        <w:tcPr>
          <w:tcW w:w="1933" w:type="dxa"/>
          <w:vMerge w:val="continue"/>
          <w:shd w:val="clear" w:color="auto" w:fill="D2EAF0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276" w:lineRule="auto"/>
            <w:rPr>
              <w:rFonts w:ascii="Arial" w:hAnsi="Arial" w:eastAsia="Arial" w:cs="Arial"/>
              <w:color w:val="000000"/>
              <w:sz w:val="20"/>
              <w:szCs w:val="20"/>
            </w:rPr>
          </w:pPr>
        </w:p>
      </w:tc>
      <w:tc>
        <w:tcPr>
          <w:tcW w:w="3398" w:type="dxa"/>
          <w:shd w:val="clear" w:color="auto" w:fill="D2EAF0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color w:val="000000"/>
              <w:sz w:val="20"/>
              <w:szCs w:val="20"/>
            </w:rPr>
            <w:t>Proceso: Gestión de Recursos Financieros</w:t>
          </w:r>
        </w:p>
      </w:tc>
      <w:tc>
        <w:tcPr>
          <w:tcW w:w="1873" w:type="dxa"/>
          <w:shd w:val="clear" w:color="auto" w:fill="D2EAF0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color w:val="000000"/>
              <w:sz w:val="20"/>
              <w:szCs w:val="20"/>
            </w:rPr>
            <w:t>Fecha de Aprobación: 12/03/14</w:t>
          </w:r>
        </w:p>
      </w:tc>
      <w:tc>
        <w:tcPr>
          <w:tcW w:w="1624" w:type="dxa"/>
          <w:vMerge w:val="continue"/>
          <w:shd w:val="clear" w:color="auto" w:fill="D2EAF0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276" w:lineRule="auto"/>
            <w:rPr>
              <w:rFonts w:ascii="Arial" w:hAnsi="Arial" w:eastAsia="Arial" w:cs="Arial"/>
              <w:color w:val="000000"/>
              <w:sz w:val="20"/>
              <w:szCs w:val="20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C8"/>
    <w:rsid w:val="002A6A72"/>
    <w:rsid w:val="00593896"/>
    <w:rsid w:val="0082678E"/>
    <w:rsid w:val="00A024C8"/>
    <w:rsid w:val="00BA2B00"/>
    <w:rsid w:val="00CC5F09"/>
    <w:rsid w:val="00E23A3D"/>
    <w:rsid w:val="00E34F78"/>
    <w:rsid w:val="DD4FC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header"/>
    <w:basedOn w:val="1"/>
    <w:link w:val="28"/>
    <w:unhideWhenUsed/>
    <w:qFormat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6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Shading Accent 1"/>
    <w:basedOn w:val="9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8">
    <w:name w:val="Light Shading Accent 5"/>
    <w:basedOn w:val="9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9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0">
    <w:name w:val="Light List Accent 1"/>
    <w:basedOn w:val="9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1">
    <w:name w:val="Medium Shading 1 Accent 1"/>
    <w:basedOn w:val="9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22">
    <w:name w:val="Medium Shading 2"/>
    <w:basedOn w:val="9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3">
    <w:name w:val="Medium Shading 2 Accent 1"/>
    <w:basedOn w:val="9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4">
    <w:name w:val="Medium List 2"/>
    <w:basedOn w:val="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25">
    <w:name w:val="Medium Grid 1"/>
    <w:basedOn w:val="9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6">
    <w:name w:val="Medium Grid 1 Accent 5"/>
    <w:basedOn w:val="9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customStyle="1" w:styleId="27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8">
    <w:name w:val="Encabezado Car"/>
    <w:basedOn w:val="8"/>
    <w:link w:val="12"/>
    <w:qFormat/>
    <w:uiPriority w:val="99"/>
  </w:style>
  <w:style w:type="character" w:customStyle="1" w:styleId="29">
    <w:name w:val="Pie de página Car"/>
    <w:basedOn w:val="8"/>
    <w:link w:val="11"/>
    <w:qFormat/>
    <w:uiPriority w:val="99"/>
  </w:style>
  <w:style w:type="character" w:customStyle="1" w:styleId="30">
    <w:name w:val="Texto de globo C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31">
    <w:name w:val="_Style 30"/>
    <w:basedOn w:val="27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Layout w:type="fixed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32">
    <w:name w:val="_Style 31"/>
    <w:basedOn w:val="27"/>
    <w:uiPriority w:val="0"/>
    <w:tblPr>
      <w:tblLayout w:type="fixed"/>
      <w:tblCellMar>
        <w:left w:w="115" w:type="dxa"/>
        <w:right w:w="115" w:type="dxa"/>
      </w:tblCellMar>
    </w:tblPr>
  </w:style>
  <w:style w:type="table" w:customStyle="1" w:styleId="33">
    <w:name w:val="_Style 32"/>
    <w:basedOn w:val="27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Layout w:type="fixed"/>
      <w:tblCellMar>
        <w:left w:w="115" w:type="dxa"/>
        <w:right w:w="115" w:type="dxa"/>
      </w:tblCellMar>
    </w:tblPr>
    <w:tcPr>
      <w:shd w:val="clear" w:color="auto" w:fill="D2EAF0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1548</Characters>
  <Lines>12</Lines>
  <Paragraphs>3</Paragraphs>
  <TotalTime>16</TotalTime>
  <ScaleCrop>false</ScaleCrop>
  <LinksUpToDate>false</LinksUpToDate>
  <CharactersWithSpaces>1826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2019-07-16T17:05:00Z</dcterms:created>
  <dc:creator>Ignacio</dc:creator>
  <cp:lastModifiedBy>javier</cp:lastModifiedBy>
  <dcterms:modified xsi:type="dcterms:W3CDTF">2020-02-03T10:48:23Z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