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КУБАНСКИЙ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 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КУБГУ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»)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Факультет компьютерных технологий и прикладной математики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вычислительных технологий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курсу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НЕЙРОСЕТЕВЫЕ И НЕЧЕТКИЕ МОДЕЛИ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Работу выполнил </w:t>
      </w: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49 группы</w:t>
      </w: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Фролов С. А</w:t>
      </w: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Крамаренко А. А.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Краснодар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решение методом анализа иерархий.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Найти оптимальный вариант двигателя.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57" w:dyaOrig="2797">
          <v:rect xmlns:o="urn:schemas-microsoft-com:office:office" xmlns:v="urn:schemas-microsoft-com:vml" id="rectole0000000000" style="width:392.850000pt;height:13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Абсолютные показатели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Заносим данные о каждом двигателе.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416" w:dyaOrig="2368">
          <v:rect xmlns:o="urn:schemas-microsoft-com:office:office" xmlns:v="urn:schemas-microsoft-com:vml" id="rectole0000000001" style="width:370.800000pt;height:11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Запись значений по указанным параметрам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каждого критерия составляем матрицу парных сравнений через функцию, в которой вычисляем размер и заполняем (по диагонали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единицы, остальные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значения сравнений).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32" w:dyaOrig="2145">
          <v:rect xmlns:o="urn:schemas-microsoft-com:office:office" xmlns:v="urn:schemas-microsoft-com:vml" id="rectole0000000002" style="width:376.600000pt;height:10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Матрица по массе двигателей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18" w:dyaOrig="2188">
          <v:rect xmlns:o="urn:schemas-microsoft-com:office:office" xmlns:v="urn:schemas-microsoft-com:vml" id="rectole0000000003" style="width:375.900000pt;height:109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Матрица по мощности двигателей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32" w:dyaOrig="2145">
          <v:rect xmlns:o="urn:schemas-microsoft-com:office:office" xmlns:v="urn:schemas-microsoft-com:vml" id="rectole0000000004" style="width:376.600000pt;height:10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Матрица по крутящей силе двигателей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через функцию вычисляем веса из матриц парных сравнений. Относительные веса вычисляются в виде средних значений элементов соответствующих строк нормализованной матрицы N, элементы которой определяются путем деления элементов каждого столбца матрицы парных сравнений на сумму элементов этого же столбца.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Средние значения элементов строк: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столбцы нормализованной матрицы идентичны, то исходная матрица сравнений является согласованной. Если матрица парных сравнений не является согласованной, то для нее находят индекс согласованности, который дает информацию о степени нарушения согласованности.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81" w:dyaOrig="2131">
          <v:rect xmlns:o="urn:schemas-microsoft-com:office:office" xmlns:v="urn:schemas-microsoft-com:vml" id="rectole0000000005" style="width:64.050000pt;height:106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Веса по массе двигателей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52" w:dyaOrig="2131">
          <v:rect xmlns:o="urn:schemas-microsoft-com:office:office" xmlns:v="urn:schemas-microsoft-com:vml" id="rectole0000000006" style="width:62.600000pt;height:106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Веса по мощности двигателей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52" w:dyaOrig="2116">
          <v:rect xmlns:o="urn:schemas-microsoft-com:office:office" xmlns:v="urn:schemas-microsoft-com:vml" id="rectole0000000007" style="width:62.600000pt;height:105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Веса по крутящей силе двигателя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определения оптимального двигателя суммируем получаемые значения по каждому двигателю (мощность, крутящая сила, масса) и получаем, что оптимальным двигателем является двигатель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95" w:dyaOrig="6456">
          <v:rect xmlns:o="urn:schemas-microsoft-com:office:office" xmlns:v="urn:schemas-microsoft-com:vml" id="rectole0000000008" style="width:359.750000pt;height:322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итоговых значений по двигателям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определить оптимальный вариант по косметическим средствам (вариант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19" w:dyaOrig="6009">
          <v:rect xmlns:o="urn:schemas-microsoft-com:office:office" xmlns:v="urn:schemas-microsoft-com:vml" id="rectole0000000009" style="width:335.950000pt;height:300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Итоговые значения по выбору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 полученного можно сделать вывод о том, что увлажняющий гель является наиболее подходящим вариантов из полученных оценок.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изучен метод анализа иерархий.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