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290A" w:sz="16"/>
              <w:right w:val="none" w:color="FFFFFF" w:sz="0"/>
            </w:tcBorders>
            <w:shd w:fill="0F0D0A" w:val="clear"/>
            <w:tcMar>
              <w:top w:type="dxa" w:w="440"/>
              <w:left w:type="dxa" w:w="440"/>
              <w:bottom w:type="dxa" w:w="440"/>
              <w:right w:type="dxa" w:w="440"/>
            </w:tcMar>
          </w:tcPr>
          <w:p>
            <w:pPr>
              <w:spacing w:after="120"/>
              <w:jc w:val="left"/>
            </w:pPr>
            <w:r>
              <w:rPr>
                <w:rFonts w:ascii="Arial" w:cs="Arial" w:eastAsia="Arial" w:hAnsi="Arial"/>
                <w:i/>
                <w:iCs/>
                <w:color w:val="AAAAAA"/>
                <w:sz w:val="20"/>
                <w:szCs w:val="20"/>
              </w:rPr>
              <w:t xml:space="preserve">Data Consulting Division</w:t>
            </w:r>
          </w:p>
          <w:p>
            <w:pPr>
              <w:spacing w:after="200"/>
              <w:jc w:val="left"/>
            </w:pPr>
            <w:r>
              <w:rPr>
                <w:rFonts w:ascii="Arial" w:cs="Arial" w:eastAsia="Arial" w:hAnsi="Arial"/>
                <w:b/>
                <w:bCs/>
                <w:color w:val="FFFFFF"/>
                <w:sz w:val="48"/>
                <w:szCs w:val="48"/>
              </w:rPr>
              <w:t xml:space="preserve">Balance Import Extractor</w:t>
            </w:r>
          </w:p>
          <w:p>
            <w:pPr>
              <w:spacing w:after="400"/>
              <w:jc w:val="left"/>
            </w:pPr>
            <w:r>
              <w:rPr>
                <w:rFonts w:ascii="Arial" w:cs="Arial" w:eastAsia="Arial" w:hAnsi="Arial"/>
                <w:i/>
                <w:iCs/>
                <w:color w:val="CCCCCC"/>
                <w:sz w:val="24"/>
                <w:szCs w:val="24"/>
              </w:rPr>
              <w:t xml:space="preserve">Feature Documentation &amp; User Guide</w:t>
            </w:r>
          </w:p>
          <w:p>
            <w:pPr>
              <w:spacing w:after="60"/>
              <w:jc w:val="left"/>
            </w:pPr>
            <w:r>
              <w:rPr>
                <w:rFonts w:ascii="Arial" w:cs="Arial" w:eastAsia="Arial" w:hAnsi="Arial"/>
                <w:color w:val="AAAAAA"/>
                <w:sz w:val="20"/>
                <w:szCs w:val="20"/>
              </w:rPr>
              <w:t xml:space="preserve">Version 1.0</w:t>
            </w:r>
          </w:p>
          <w:p>
            <w:pPr>
              <w:spacing w:after="0"/>
              <w:jc w:val="left"/>
            </w:pPr>
            <w:r>
              <w:rPr>
                <w:rFonts w:ascii="Arial" w:cs="Arial" w:eastAsia="Arial" w:hAnsi="Arial"/>
                <w:color w:val="AAAAAA"/>
                <w:sz w:val="20"/>
                <w:szCs w:val="20"/>
              </w:rPr>
              <w:t xml:space="preserve">March 11, 2026</w:t>
            </w:r>
          </w:p>
        </w:tc>
      </w:tr>
    </w:tbl>
    <w:p>
      <w:pPr>
        <w:spacing w:after="0"/>
      </w:pPr>
      <w:r>
        <w:br w:type="page"/>
      </w:r>
    </w:p>
    <w:p>
      <w:pPr>
        <w:pStyle w:val="Heading1"/>
        <w:pBdr>
          <w:bottom w:val="single" w:color="C8290A" w:sz="8" w:space="4"/>
        </w:pBdr>
        <w:spacing w:before="360" w:after="160"/>
      </w:pPr>
      <w:r>
        <w:rPr>
          <w:rFonts w:ascii="Arial" w:cs="Arial" w:eastAsia="Arial" w:hAnsi="Arial"/>
          <w:b/>
          <w:bCs/>
          <w:color w:val="0F0D0A"/>
          <w:sz w:val="32"/>
          <w:szCs w:val="32"/>
        </w:rPr>
        <w:t xml:space="preserve">1. Overview</w:t>
      </w:r>
    </w:p>
    <w:p>
      <w:pPr>
        <w:spacing w:after="120"/>
      </w:pPr>
      <w:r>
        <w:rPr>
          <w:rFonts w:ascii="Arial" w:cs="Arial" w:eastAsia="Arial" w:hAnsi="Arial"/>
          <w:sz w:val="20"/>
          <w:szCs w:val="20"/>
        </w:rPr>
        <w:t xml:space="preserve">The Balance Import Extractor is a dedicated Excel workbook combining VBA and Power Query for balance import processing. Enter a case number and one or more ref numbers — the workbook automatically routes to the correct server region, injects all parameters into every Power Query connection, refreshes all tables, and runs automatic summarization by ref number, social, source, and fund. A one-click copy button exports the full extraction table and summary together in a single clipboard operation.</w:t>
      </w:r>
    </w:p>
    <w:p>
      <w:pPr>
        <w:spacing w:after="120"/>
      </w:pPr>
      <w:r>
        <w:rPr>
          <w:rFonts w:ascii="Arial" w:cs="Arial" w:eastAsia="Arial" w:hAnsi="Arial"/>
          <w:sz w:val="20"/>
          <w:szCs w:val="20"/>
        </w:rPr>
        <w:t xml:space="preserve">The workbook is built as Project 03 in the VBA + Power Query series for the Data Consulting Division. It handles three conversion types — cash, mapping, and Transfer In-Kind — each with different ref number requirements.</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1.1 The Problem It Solves</w:t>
      </w:r>
    </w:p>
    <w:p>
      <w:pPr>
        <w:spacing w:after="120"/>
      </w:pPr>
      <w:r>
        <w:rPr>
          <w:rFonts w:ascii="Arial" w:cs="Arial" w:eastAsia="Arial" w:hAnsi="Arial"/>
          <w:sz w:val="20"/>
          <w:szCs w:val="20"/>
        </w:rPr>
        <w:t xml:space="preserve">Two recurring issues in manual balance import processing drove the design of this workbook:</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Problem</w:t>
            </w:r>
          </w:p>
        </w:tc>
        <w:tc>
          <w:tcPr>
            <w:tcW w:type="dxa" w:w="50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 the Workbook Solves It</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Wrong server region (TD vs CoreTV) is invisible until something breaks, causing silent failures and wasted troubleshooting time</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Server region is detected automatically from the case number prefix. The routing is handled in mod_ParamValidator and can never be manually forgotten or misset</w:t>
            </w:r>
          </w:p>
        </w:tc>
      </w:tr>
      <w:tr>
        <w:tc>
          <w:tcPr>
            <w:tcW w:type="dxa" w:w="43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Manual ref number entry in queries causes trailing spaces and typos that are impossible to see in the query editor</w:t>
            </w:r>
          </w:p>
        </w:tc>
        <w:tc>
          <w:tcPr>
            <w:tcW w:type="dxa" w:w="50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Ref numbers are entered through a validated UserForm (frmRefEntry), trimmed, checked for blanks and duplicates, and injected cleanly into every connection at runtime</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1.2 Ref Number Rules by Conversion Type</w:t>
      </w:r>
    </w:p>
    <w:p>
      <w:pPr>
        <w:spacing w:after="120"/>
      </w:pPr>
      <w:r>
        <w:rPr>
          <w:rFonts w:ascii="Arial" w:cs="Arial" w:eastAsia="Arial" w:hAnsi="Arial"/>
          <w:sz w:val="20"/>
          <w:szCs w:val="20"/>
        </w:rPr>
        <w:t xml:space="preserve">The number of ref numbers required depends on the conversion type. The frmRefEntry UserForm handles all scenarios.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Conversion Type</w:t>
            </w:r>
          </w:p>
        </w:tc>
        <w:tc>
          <w:tcPr>
            <w:tcW w:type="dxa" w:w="5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Ref Numbers Required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Cash conversion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 ref number total</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Mapping</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1 ref number per fund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Transfer In-Kind (TIK)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 ref number per fund</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2. Parameter Entry</w:t>
      </w:r>
    </w:p>
    <w:p>
      <w:pPr>
        <w:spacing w:after="120"/>
      </w:pPr>
      <w:r>
        <w:rPr>
          <w:rFonts w:ascii="Arial" w:cs="Arial" w:eastAsia="Arial" w:hAnsi="Arial"/>
          <w:sz w:val="20"/>
          <w:szCs w:val="20"/>
        </w:rPr>
        <w:t xml:space="preserve">Parameters are entered through two separate UserForms accessible from buttons on the left sidebar panel of each sheet. Case number and ref numbers are managed independently — either can be updated and re-refreshed without touching the other.</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2.1 Case Number Entry (frmCaseEntry)</w:t>
      </w:r>
    </w:p>
    <w:p>
      <w:pPr>
        <w:spacing w:after="120"/>
      </w:pPr>
      <w:r>
        <w:rPr>
          <w:rFonts w:ascii="Arial" w:cs="Arial" w:eastAsia="Arial" w:hAnsi="Arial"/>
          <w:sz w:val="20"/>
          <w:szCs w:val="20"/>
        </w:rPr>
        <w:t xml:space="preserve">Clicking "Enter Case #" on the sidebar opens the case number UserForm. The form pre-populates with the currently stored case number if one has already been entered. On submit, the case number is validated and the server region is determined automatically.</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input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Text field for raw case number entry. Accepts Q/N or T/J prefix formats</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Current value display</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Shows the currently stored case number so the user always knows what is loaded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Submit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Validates format, detects server region, stores the case number, and updates the sidebar display</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Cancel</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Closes the form without making any changes</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2.2 Case Number Format &amp; Server Region Routing</w:t>
      </w:r>
    </w:p>
    <w:p>
      <w:pPr>
        <w:spacing w:after="120"/>
      </w:pPr>
      <w:r>
        <w:rPr>
          <w:rFonts w:ascii="Arial" w:cs="Arial" w:eastAsia="Arial" w:hAnsi="Arial"/>
          <w:sz w:val="20"/>
          <w:szCs w:val="20"/>
        </w:rPr>
        <w:t xml:space="preserve">The case number prefix determines which server region all Power Query connections will route to. This routing is automatic and cannot be overridden manually.</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Prefix Type</w:t>
            </w:r>
          </w:p>
        </w:tc>
        <w:tc>
          <w:tcPr>
            <w:tcW w:type="dxa" w:w="3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Format</w:t>
            </w:r>
          </w:p>
        </w:tc>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Server Region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Q / N prefix</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2 letters + 5 digits + 3 spaces + 5 digits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TD region</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 / J prefix</w:t>
            </w:r>
          </w:p>
        </w:tc>
        <w:tc>
          <w:tcPr>
            <w:tcW w:type="dxa" w:w="3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 letters + 6 digits + 2 spaces + 5 digits</w:t>
            </w:r>
          </w:p>
        </w:tc>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CoreTV region</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290A" w:sz="4"/>
              <w:left w:val="single" w:color="C8290A" w:sz="16"/>
              <w:bottom w:val="single" w:color="C8290A" w:sz="4"/>
              <w:right w:val="single" w:color="C8290A" w:sz="4"/>
            </w:tcBorders>
            <w:shd w:fill="FDE8E8" w:val="clear"/>
            <w:tcMar>
              <w:top w:type="dxa" w:w="100"/>
              <w:left w:type="dxa" w:w="160"/>
              <w:bottom w:type="dxa" w:w="100"/>
              <w:right w:type="dxa" w:w="160"/>
            </w:tcMar>
          </w:tcPr>
          <w:p>
            <w:pPr>
              <w:spacing w:after="0"/>
            </w:pPr>
            <w:r>
              <w:rPr>
                <w:rFonts w:ascii="Arial" w:cs="Arial" w:eastAsia="Arial" w:hAnsi="Arial"/>
                <w:b/>
                <w:bCs/>
                <w:color w:val="C8290A"/>
                <w:sz w:val="20"/>
                <w:szCs w:val="20"/>
              </w:rPr>
              <w:t xml:space="preserve">Important: </w:t>
            </w:r>
            <w:r>
              <w:rPr>
                <w:rFonts w:ascii="Arial" w:cs="Arial" w:eastAsia="Arial" w:hAnsi="Arial"/>
                <w:color w:val="7A1008"/>
                <w:sz w:val="20"/>
                <w:szCs w:val="20"/>
              </w:rPr>
              <w:t xml:space="preserve">Server region routing is the most critical part of this workbook. TD vs CoreTV is determined entirely from the case number prefix. Wrong region produces a silent failure — data returns empty or incorrect with no obvious error message. The routing logic in mod_ParamValidator.DetectServerRegion() handles this automatically so it can never be manually forgotten.</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2.3 Ref Number Entry (frmRefEntry)</w:t>
      </w:r>
    </w:p>
    <w:p>
      <w:pPr>
        <w:spacing w:after="120"/>
      </w:pPr>
      <w:r>
        <w:rPr>
          <w:rFonts w:ascii="Arial" w:cs="Arial" w:eastAsia="Arial" w:hAnsi="Arial"/>
          <w:sz w:val="20"/>
          <w:szCs w:val="20"/>
        </w:rPr>
        <w:t xml:space="preserve">Clicking "Enter Ref #(s)" on the sidebar opens the ref number UserForm. The form supports single entry (cash conversions) or a list of multiple ref numbers (mapping and TIK conversions). Entered ref numbers are displayed in the sidebar after submission for easy reference throughout the session.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Control</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Ref number list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Displays all ref numbers currently entered for this session. Supports one or many entries</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button</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Validates and adds a new ref number to the list. Trims whitespace and checks for blanks and duplicates before adding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Remove button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Removes the selected ref number from the list</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Submit</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Stores the full ref number list and updates the sidebar display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Cancel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Closes the form without making any changes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Case number and ref numbers are stored independently in mod_ParamValidator. You can update just the case number and re-refresh without re-entering ref numbers, or vice versa. This is useful when processing multiple plans that share a ref structure.</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3. Execution Flow</w:t>
      </w:r>
    </w:p>
    <w:p>
      <w:pPr>
        <w:spacing w:after="120"/>
      </w:pPr>
      <w:r>
        <w:rPr>
          <w:rFonts w:ascii="Arial" w:cs="Arial" w:eastAsia="Arial" w:hAnsi="Arial"/>
          <w:sz w:val="20"/>
          <w:szCs w:val="20"/>
        </w:rPr>
        <w:t xml:space="preserve">Once parameters are entered, the workbook executes a five-stage pipeline from validation through to a formatted, export-ready output.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Parameter Entry — UserForms (Left Sidebar)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User opens frmCaseEntry and/or frmRefEntry from the sidebar buttons. Case number and ref numbers are entered and stored independently. The sidebar displays current values at all times so the user can confirm what is loaded before triggering a refresh.</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Validation + Server Region Routing — mod_ParamValidator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On submit, the case number is validated against the expected format for its prefix type. The server region (TD or CoreTV) is detected from the prefix and stored. Each ref number in the list is trimmed, checked for blanks, and checked for duplicates. All parameters are assembled into a single parameter set passed to the query injection layer.</w:t>
      </w:r>
    </w:p>
    <w:p>
      <w:pPr>
        <w:spacing w:after="120"/>
      </w:pPr>
      <w:r>
        <w:rPr>
          <w:rFonts w:ascii="Arial" w:cs="Arial" w:eastAsia="Arial" w:hAnsi="Arial"/>
          <w:sz w:val="20"/>
          <w:szCs w:val="20"/>
        </w:rPr>
        <w:t xml:space="preserve">Validation failures at this stage produce a descriptive error message and keep the form open — no parameters are stored until all inputs are clean.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3F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Query Injection + Refresh — mod_QueryEngine</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InjectAndRefresh() iterates over all workbook connections. Each connection receives the parameters it needs: case number, ref number(s), server region, and any required date fields. The server region sets the correct connection string endpoint for that connection. After injection, ActiveWorkbook.RefreshAll re-executes all Power Query tables simultaneously.</w:t>
      </w:r>
    </w:p>
    <w:p>
      <w:pPr>
        <w:spacing w:after="120"/>
      </w:pPr>
      <w:r>
        <w:rPr>
          <w:rFonts w:ascii="Arial" w:cs="Arial" w:eastAsia="Arial" w:hAnsi="Arial"/>
          <w:sz w:val="20"/>
          <w:szCs w:val="20"/>
        </w:rPr>
        <w:t xml:space="preserve">If any connection returns an error after refresh, the error is surfaced with connection and region details. On success, execution passes immediately to Stage IV.</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All column naming, data types, and table layout are controlled in the Power Query M code — not in VBA post-load. This means the table arrives in Excel already formatted correctly with no cleanup step required.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E7A7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IV</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Auto-Calculations + Summarization — mod_Summary</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RunCalculations() applies any derived or computed columns to the refreshed table data. BuildAndWriteSummary() then generates breakdown tables across four standard dimensions and writes them to the designated summary area on the sheet: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Summary Dimension</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By Ref Number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Total balance aggregated per ref number — primary reconciliation view</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By Social</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Participant-level summary grouped by SSN / social security number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By Source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Balance breakdown by money type / source code</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By Fund</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Balance breakdown by fund allocation</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summary output is written adjacent to or directly below the main extraction table so that both are captured together in a single copy operation.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V</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Copy Export — mod_Export</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user clicks the Copy button on the sheet. CopyTableAndSummary() selects the full extraction table and the summary block as a single range and copies it to the clipboard. One paste delivers the complete, formatted output — consistent column structure, consistent layout, every time.</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4. Code Architecture</w:t>
      </w:r>
    </w:p>
    <w:p>
      <w:pPr>
        <w:spacing w:after="120"/>
      </w:pPr>
      <w:r>
        <w:rPr>
          <w:rFonts w:ascii="Arial" w:cs="Arial" w:eastAsia="Arial" w:hAnsi="Arial"/>
          <w:sz w:val="20"/>
          <w:szCs w:val="20"/>
        </w:rPr>
        <w:t xml:space="preserve">The workbook is organized into four VBA modules and two UserForms, plus one Power Query connection per extraction tab.</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4.1 UserForms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Form</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frmCaseEntry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input with prefix validation. Pre-populates with current stored value. Shares the same validation pattern as Project 02</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frmRefEntry</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Ref number entry — supports single value (cash) or multi-value list (mapping/TIK). Add/Remove controls for list management. Displays entered values in sidebar after submit</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4.2 VBA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Module</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mod_ParamValidator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ValidateCaseNumber() — prefix and format check. DetectServerRegion() — TD vs CoreTV routing from case number prefix. ValidateRefNumbers() — trim, blank, and duplicate checks on the full ref list. BuildParamSet() — assembles the complete parameter package for injection</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mod_QueryEngine</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InjectAndRefresh() — iterates connections and injects parameters, then fires RefreshAll. InjectParams() — injects the correct parameter subset into a specific connection. RunCalculations() — applies derived fields after refresh. LaunchCaseEntry() / LaunchRefEntry() — sidebar button wiring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BuildAndWriteSummary() — orchestrates all breakdown tables. SummarizeByRefNumber(), SummarizeBySocial(), SummarizeBySource(), SummarizeByFund() — individual summary generators. WriteSummaryToSheet() — outputs results to the designated range</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mod_Export</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CopyTableAndSummary() — selects the extraction table and summary block as a single range and copies to clipboard. Wired to the Copy button on each sheet</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4.3 Power Query Connections</w:t>
      </w:r>
    </w:p>
    <w:p>
      <w:pPr>
        <w:spacing w:after="120"/>
      </w:pPr>
      <w:r>
        <w:rPr>
          <w:rFonts w:ascii="Arial" w:cs="Arial" w:eastAsia="Arial" w:hAnsi="Arial"/>
          <w:sz w:val="20"/>
          <w:szCs w:val="20"/>
        </w:rPr>
        <w:t xml:space="preserve">One Power Query connection per extraction table, one per tab. Each M query is parameterized for case number, ref number(s), and server region. Connection strings, parameter injection points, and placeholder values are configured at setup time. All column naming, data types, and layout are defined in the M code — no post-load formatting is required.</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5. Sidebar Panel</w:t>
      </w:r>
    </w:p>
    <w:p>
      <w:pPr>
        <w:spacing w:after="120"/>
      </w:pPr>
      <w:r>
        <w:rPr>
          <w:rFonts w:ascii="Arial" w:cs="Arial" w:eastAsia="Arial" w:hAnsi="Arial"/>
          <w:sz w:val="20"/>
          <w:szCs w:val="20"/>
        </w:rPr>
        <w:t xml:space="preserve">Each sheet has a fixed left sidebar panel. The sidebar is the primary control surface for the workbook — it is where parameters are entered, current values are displayed, and refreshes are triggered.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Sidebar Element</w:t>
            </w:r>
          </w:p>
        </w:tc>
        <w:tc>
          <w:tcPr>
            <w:tcW w:type="dxa" w:w="61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Enter Case # button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Opens frmCaseEntry. Wired to mod_QueryEngine.LaunchCaseEntry()</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Enter Ref #(s) button</w:t>
            </w:r>
          </w:p>
        </w:tc>
        <w:tc>
          <w:tcPr>
            <w:tcW w:type="dxa" w:w="61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Opens frmRefEntry. Wired to mod_QueryEngine.LaunchRefEntry()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Current case number display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Named range (rng_CurrentCase) — always shows the case number currently loaded. Updated by UpdateSidebarDisplay() after every entry</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Current ref number list display</w:t>
            </w:r>
          </w:p>
        </w:tc>
        <w:tc>
          <w:tcPr>
            <w:tcW w:type="dxa" w:w="61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Named range (rng_RefList) — shows all ref numbers currently entered. Updated by UpdateSidebarDisplay() after every entry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Refresh / Run button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Triggers InjectAndRefresh() — injects current parameters and fires workbook-wide refresh</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6. Setup Guide</w:t>
      </w:r>
    </w:p>
    <w:p>
      <w:pPr>
        <w:spacing w:after="120"/>
      </w:pPr>
      <w:r>
        <w:rPr>
          <w:rFonts w:ascii="Arial" w:cs="Arial" w:eastAsia="Arial" w:hAnsi="Arial"/>
          <w:sz w:val="20"/>
          <w:szCs w:val="20"/>
        </w:rPr>
        <w:t xml:space="preserve">The following steps configure the workbook from scratch. The VBA scaffolding is provided in the portal — the items marked as TODO in the code are the configuration points specific to each deployment.</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6.1 Workbook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the left sidebar panel — reserve a fixed column range on the left of each sheet. Add "Enter Case #" and "Enter Ref #(s)" buttons wired to LaunchCaseEntry and LaunchRefEntry in mod_QueryEngine</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named ranges for sidebar display — create rng_CurrentCase and rng_RefList in the sidebar area. UpdateSidebarDisplay() writes to these after every parameter entry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Set up Power Query connections per tab — one connection per extraction table. Leave placeholder values for case number, ref numbers, and server region in each M query. The injection layer replaces these at runtime</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 Copy button to each sheet — wire to CopyTableAndSummary() in mod_Export. Position it near the summary area</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6.2 Key Configuration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Configuration Point</w:t>
            </w:r>
          </w:p>
        </w:tc>
        <w:tc>
          <w:tcPr>
            <w:tcW w:type="dxa" w:w="2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Location</w:t>
            </w:r>
          </w:p>
        </w:tc>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Server region routing logic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mod_ParamValidator.DetectServerRegion()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Add the actual prefix-to-region mapping here. This is the most critical configuration — determines TD vs CoreTV for all connections</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Connection parameter injection</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mod_QueryEngine.InjectAndRefresh()</w:t>
            </w:r>
          </w:p>
        </w:tc>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 Select Case block mapping each connection name to the parameters it needs: case number, ref numbers, region, and any date fields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Summary output ranges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mod_Summary.BuildAndWriteSummary()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Set target ranges for each breakdown table. mod_Export relies on knowing where the summary ends to capture the full output in one copy</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Ref number list UI sizing</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frmRefEntry design</w:t>
            </w:r>
          </w:p>
        </w:tc>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Update the list control height to accommodate the maximum number of ref numbers your most complex plans will require</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VBA code provided in the portal contains placeholder comments (marked TODO) at every configuration point. Fill these in after setting up the workbook structure. The scaffolding handles all the orchestration logic — the TODO items are the plan-specific and environment-specific values.</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7. Usage Workflow</w:t>
      </w:r>
    </w:p>
    <w:p>
      <w:pPr>
        <w:spacing w:after="120"/>
      </w:pPr>
      <w:r>
        <w:rPr>
          <w:rFonts w:ascii="Arial" w:cs="Arial" w:eastAsia="Arial" w:hAnsi="Arial"/>
          <w:sz w:val="20"/>
          <w:szCs w:val="20"/>
        </w:rPr>
        <w:t xml:space="preserve">Standard end-to-end usage for a single plan extraction: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"Enter Case #" on the sidebar. Enter the case number and click Submit. The server region is detected automatically and the sidebar updates to show the loaded case number</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"Enter Ref #(s)" on the sidebar. Enter one ref number (cash) or add each ref number individually for mapping/TIK. Click Submit. The sidebar updates to show the full ref list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the Refresh / Run button. Parameters are injected into all connections and all tables refresh simultaneously</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Review the refreshed data. Summarization runs automatically — breakdowns by ref number, social, source, and fund appear in the summary area</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Copy. The full extraction table and summary are copied to the clipboard in one operation. Paste into your output report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To re-run with a different case number, click "Enter Case #" and update — ref numbers remain stored. To re-run with different ref numbers, click "Enter Ref #(s)" and update — case number remains stored. Only the changed parameter needs to be re-entered.</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8. Technical Notes</w:t>
      </w:r>
    </w:p>
    <w:p>
      <w:pPr>
        <w:pStyle w:val="ListParagraph"/>
        <w:numPr>
          <w:ilvl w:val="0"/>
          <w:numId w:val="2"/>
        </w:numPr>
        <w:spacing w:after="80"/>
      </w:pPr>
      <w:r>
        <w:rPr>
          <w:rFonts w:ascii="Arial" w:cs="Arial" w:eastAsia="Arial" w:hAnsi="Arial"/>
          <w:color w:val="0F0D0A"/>
          <w:sz w:val="20"/>
          <w:szCs w:val="20"/>
        </w:rPr>
        <w:t xml:space="preserve">Built as a single Excel workbook (.xlsm) with VBA macros enabled. No external dependencies or add-ins required.</w:t>
      </w:r>
    </w:p>
    <w:p>
      <w:pPr>
        <w:pStyle w:val="ListParagraph"/>
        <w:numPr>
          <w:ilvl w:val="0"/>
          <w:numId w:val="2"/>
        </w:numPr>
        <w:spacing w:after="80"/>
      </w:pPr>
      <w:r>
        <w:rPr>
          <w:rFonts w:ascii="Arial" w:cs="Arial" w:eastAsia="Arial" w:hAnsi="Arial"/>
          <w:color w:val="0F0D0A"/>
          <w:sz w:val="20"/>
          <w:szCs w:val="20"/>
        </w:rPr>
        <w:t xml:space="preserve">Power Query M code handles all column naming, data typing, and table formatting. VBA handles parameter injection, orchestration, summarization, and export only.</w:t>
      </w:r>
    </w:p>
    <w:p>
      <w:pPr>
        <w:pStyle w:val="ListParagraph"/>
        <w:numPr>
          <w:ilvl w:val="0"/>
          <w:numId w:val="2"/>
        </w:numPr>
        <w:spacing w:after="80"/>
      </w:pPr>
      <w:r>
        <w:rPr>
          <w:rFonts w:ascii="Arial" w:cs="Arial" w:eastAsia="Arial" w:hAnsi="Arial"/>
          <w:color w:val="0F0D0A"/>
          <w:sz w:val="20"/>
          <w:szCs w:val="20"/>
        </w:rPr>
        <w:t xml:space="preserve">ActiveWorkbook.RefreshAll fires all connections simultaneously. For large datasets, Application.CalculateUntilAsyncQueriesDone can be called after refresh to ensure all tables are complete before summarization runs.</w:t>
      </w:r>
    </w:p>
    <w:p>
      <w:pPr>
        <w:pStyle w:val="ListParagraph"/>
        <w:numPr>
          <w:ilvl w:val="0"/>
          <w:numId w:val="2"/>
        </w:numPr>
        <w:spacing w:after="80"/>
      </w:pPr>
      <w:r>
        <w:rPr>
          <w:rFonts w:ascii="Arial" w:cs="Arial" w:eastAsia="Arial" w:hAnsi="Arial"/>
          <w:color w:val="0F0D0A"/>
          <w:sz w:val="20"/>
          <w:szCs w:val="20"/>
        </w:rPr>
        <w:t xml:space="preserve">Server region routing in DetectServerRegion() uses the leading character(s) of the case number. Q/N prefix routes to TD; T/J prefix routes to CoreTV. This logic is the single source of truth for region selection across all connections.</w:t>
      </w:r>
    </w:p>
    <w:p>
      <w:pPr>
        <w:pStyle w:val="ListParagraph"/>
        <w:numPr>
          <w:ilvl w:val="0"/>
          <w:numId w:val="2"/>
        </w:numPr>
        <w:spacing w:after="80"/>
      </w:pPr>
      <w:r>
        <w:rPr>
          <w:rFonts w:ascii="Arial" w:cs="Arial" w:eastAsia="Arial" w:hAnsi="Arial"/>
          <w:color w:val="0F0D0A"/>
          <w:sz w:val="20"/>
          <w:szCs w:val="20"/>
        </w:rPr>
        <w:t xml:space="preserve">Ref number validation trims leading and trailing whitespace from every entry. This is the primary defense against the silent query errors caused by invisible spaces in ref number values.</w:t>
      </w:r>
    </w:p>
    <w:p>
      <w:pPr>
        <w:pStyle w:val="ListParagraph"/>
        <w:numPr>
          <w:ilvl w:val="0"/>
          <w:numId w:val="2"/>
        </w:numPr>
        <w:spacing w:after="80"/>
      </w:pPr>
      <w:r>
        <w:rPr>
          <w:rFonts w:ascii="Arial" w:cs="Arial" w:eastAsia="Arial" w:hAnsi="Arial"/>
          <w:color w:val="0F0D0A"/>
          <w:sz w:val="20"/>
          <w:szCs w:val="20"/>
        </w:rPr>
        <w:t xml:space="preserve">The one-click copy operation uses a Union() of the extraction table range and the summary range. Both must be defined and populated before copy — running copy before a refresh returns an empty or stale selection.</w:t>
      </w:r>
    </w:p>
    <w:p>
      <w:pPr>
        <w:pStyle w:val="ListParagraph"/>
        <w:numPr>
          <w:ilvl w:val="0"/>
          <w:numId w:val="2"/>
        </w:numPr>
        <w:spacing w:after="80"/>
      </w:pPr>
      <w:r>
        <w:rPr>
          <w:rFonts w:ascii="Arial" w:cs="Arial" w:eastAsia="Arial" w:hAnsi="Arial"/>
          <w:color w:val="0F0D0A"/>
          <w:sz w:val="20"/>
          <w:szCs w:val="20"/>
        </w:rPr>
        <w:t xml:space="preserve">All module-level parameter storage (case number, ref array, server region) lives in mod_ParamValidator private variables. Parameters persist in memory for the duration of the Excel session and are cleared when the workbook is closed.</w:t>
      </w:r>
    </w:p>
    <w:p>
      <w:pPr>
        <w:spacing w:after="80"/>
      </w:pPr>
      <w:r>
        <w:rPr>
          <w:rFonts w:ascii="Arial" w:cs="Arial" w:eastAsia="Arial" w:hAnsi="Arial"/>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pPr>
    <w:r>
      <w:rPr>
        <w:rFonts w:ascii="Arial" w:cs="Arial" w:eastAsia="Arial" w:hAnsi="Arial"/>
        <w:color w:val="7A7060"/>
        <w:sz w:val="16"/>
        <w:szCs w:val="16"/>
      </w:rPr>
      <w:t xml:space="preserve">Internal Use Only  —  Data Consulting Division</w:t>
    </w:r>
    <w:r>
      <w:rPr>
        <w:rFonts w:ascii="Arial" w:cs="Arial" w:eastAsia="Arial" w:hAnsi="Arial"/>
        <w:sz w:val="16"/>
        <w:szCs w:val="16"/>
      </w:rPr>
      <w:t xml:space="preserve">	</w:t>
    </w:r>
    <w:r>
      <w:rPr>
        <w:rFonts w:ascii="Arial" w:cs="Arial" w:eastAsia="Arial" w:hAnsi="Arial"/>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7A7060"/>
        <w:sz w:val="16"/>
        <w:szCs w:val="16"/>
      </w:rPr>
      <w:t xml:space="preserve">Balance Import Extractor  —  User Guide</w:t>
    </w:r>
    <w:r>
      <w:rPr>
        <w:rFonts w:ascii="Arial" w:cs="Arial" w:eastAsia="Arial" w:hAnsi="Arial"/>
        <w:sz w:val="16"/>
        <w:szCs w:val="16"/>
      </w:rPr>
      <w:t xml:space="preserve">	</w:t>
    </w:r>
    <w:r>
      <w:rPr>
        <w:rFonts w:ascii="Arial" w:cs="Arial" w:eastAsia="Arial" w:hAnsi="Arial"/>
        <w:i/>
        <w:iCs/>
        <w:color w:val="7A7060"/>
        <w:sz w:val="16"/>
        <w:szCs w:val="16"/>
      </w:rPr>
      <w:t xml:space="preserve">Data Consulting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D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0D0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0D0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A7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2026-03-12T03:51:26.839Z</dcterms:created>
  <dcterms:modified xsi:type="dcterms:W3CDTF">2026-03-12T03:51:26.859Z</dcterms:modified>
</cp:coreProperties>
</file>

<file path=docProps/custom.xml><?xml version="1.0" encoding="utf-8"?>
<Properties xmlns="http://schemas.openxmlformats.org/officeDocument/2006/custom-properties" xmlns:vt="http://schemas.openxmlformats.org/officeDocument/2006/docPropsVTypes"/>
</file>