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290A" w:sz="16"/>
              <w:right w:val="none" w:color="FFFFFF" w:sz="0"/>
            </w:tcBorders>
            <w:shd w:fill="0F0D0A" w:val="clear"/>
            <w:tcMar>
              <w:top w:type="dxa" w:w="440"/>
              <w:left w:type="dxa" w:w="440"/>
              <w:bottom w:type="dxa" w:w="440"/>
              <w:right w:type="dxa" w:w="440"/>
            </w:tcMar>
          </w:tcPr>
          <w:p>
            <w:pPr>
              <w:spacing w:after="120"/>
              <w:jc w:val="left"/>
            </w:pPr>
            <w:r>
              <w:rPr>
                <w:rFonts w:ascii="Arial" w:cs="Arial" w:eastAsia="Arial" w:hAnsi="Arial"/>
                <w:i/>
                <w:iCs/>
                <w:color w:val="AAAAAA"/>
                <w:sz w:val="20"/>
                <w:szCs w:val="20"/>
              </w:rPr>
              <w:t xml:space="preserve">Data Consulting Division</w:t>
            </w:r>
          </w:p>
          <w:p>
            <w:pPr>
              <w:spacing w:after="200"/>
              <w:jc w:val="left"/>
            </w:pPr>
            <w:r>
              <w:rPr>
                <w:rFonts w:ascii="Arial" w:cs="Arial" w:eastAsia="Arial" w:hAnsi="Arial"/>
                <w:b/>
                <w:bCs/>
                <w:color w:val="FFFFFF"/>
                <w:sz w:val="48"/>
                <w:szCs w:val="48"/>
              </w:rPr>
              <w:t xml:space="preserve">Implementation Checklist Generator</w:t>
            </w:r>
          </w:p>
          <w:p>
            <w:pPr>
              <w:spacing w:after="400"/>
              <w:jc w:val="left"/>
            </w:pPr>
            <w:r>
              <w:rPr>
                <w:rFonts w:ascii="Arial" w:cs="Arial" w:eastAsia="Arial" w:hAnsi="Arial"/>
                <w:i/>
                <w:iCs/>
                <w:color w:val="CCCCCC"/>
                <w:sz w:val="24"/>
                <w:szCs w:val="24"/>
              </w:rPr>
              <w:t xml:space="preserve">Feature Documentation &amp; User Guide</w:t>
            </w:r>
          </w:p>
          <w:p>
            <w:pPr>
              <w:spacing w:after="60"/>
              <w:jc w:val="left"/>
            </w:pPr>
            <w:r>
              <w:rPr>
                <w:rFonts w:ascii="Arial" w:cs="Arial" w:eastAsia="Arial" w:hAnsi="Arial"/>
                <w:color w:val="AAAAAA"/>
                <w:sz w:val="20"/>
                <w:szCs w:val="20"/>
              </w:rPr>
              <w:t xml:space="preserve">Version 1.0</w:t>
            </w:r>
          </w:p>
          <w:p>
            <w:pPr>
              <w:spacing w:after="0"/>
              <w:jc w:val="left"/>
            </w:pPr>
            <w:r>
              <w:rPr>
                <w:rFonts w:ascii="Arial" w:cs="Arial" w:eastAsia="Arial" w:hAnsi="Arial"/>
                <w:color w:val="AAAAAA"/>
                <w:sz w:val="20"/>
                <w:szCs w:val="20"/>
              </w:rPr>
              <w:t xml:space="preserve">March 11, 2026</w:t>
            </w:r>
          </w:p>
        </w:tc>
      </w:tr>
    </w:tbl>
    <w:p>
      <w:pPr>
        <w:spacing w:after="0"/>
      </w:pPr>
      <w:r>
        <w:br w:type="page"/>
      </w:r>
    </w:p>
    <w:p>
      <w:pPr>
        <w:pStyle w:val="Heading1"/>
        <w:pBdr>
          <w:bottom w:val="single" w:color="C8290A" w:sz="8" w:space="4"/>
        </w:pBdr>
        <w:spacing w:before="360" w:after="160"/>
      </w:pPr>
      <w:r>
        <w:rPr>
          <w:rFonts w:ascii="Arial" w:cs="Arial" w:eastAsia="Arial" w:hAnsi="Arial"/>
          <w:b/>
          <w:bCs/>
          <w:color w:val="0F0D0A"/>
          <w:sz w:val="32"/>
          <w:szCs w:val="32"/>
        </w:rPr>
        <w:t xml:space="preserve">1. Overview</w:t>
      </w:r>
    </w:p>
    <w:p>
      <w:pPr>
        <w:spacing w:after="120"/>
      </w:pPr>
      <w:r>
        <w:rPr>
          <w:rFonts w:ascii="Arial" w:cs="Arial" w:eastAsia="Arial" w:hAnsi="Arial"/>
          <w:sz w:val="20"/>
          <w:szCs w:val="20"/>
        </w:rPr>
        <w:t xml:space="preserve">The Implementation Checklist Generator is a self-contained HTML tool designed to streamline the retirement plan implementation process — covering conversions, startups, and mergers. It takes in plan and contact information through a structured intake form and generates a fully interactive, phased checklist organized from initial kickoff through data loading and wrap-up.</w:t>
      </w:r>
    </w:p>
    <w:p>
      <w:pPr>
        <w:spacing w:after="120"/>
      </w:pPr>
      <w:r>
        <w:rPr>
          <w:rFonts w:ascii="Arial" w:cs="Arial" w:eastAsia="Arial" w:hAnsi="Arial"/>
          <w:sz w:val="20"/>
          <w:szCs w:val="20"/>
        </w:rPr>
        <w:t xml:space="preserve">The tool runs entirely in the browser with no internet connection required after the initial load. All data stays local. It supports saving and loading plans, Outlook email drafting with pre-written templates, countdown timers, and detailed task phases for every stage of a plan implementation.</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2. Intake Form</w:t>
      </w:r>
    </w:p>
    <w:p>
      <w:pPr>
        <w:spacing w:after="120"/>
      </w:pPr>
      <w:r>
        <w:rPr>
          <w:rFonts w:ascii="Arial" w:cs="Arial" w:eastAsia="Arial" w:hAnsi="Arial"/>
          <w:sz w:val="20"/>
          <w:szCs w:val="20"/>
        </w:rPr>
        <w:t xml:space="preserve">The intake form is the starting point for every checklist. It collects all the information needed to personalize the generated checklist. Contact names, dates, case numbers, and plan type all flow through automatically into task notes, email drafts, countdown timers, and phase content.</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2.1 Plan Information</w:t>
      </w:r>
    </w:p>
    <w:p>
      <w:pPr>
        <w:spacing w:after="120"/>
      </w:pPr>
      <w:r>
        <w:rPr>
          <w:rFonts w:ascii="Arial" w:cs="Arial" w:eastAsia="Arial" w:hAnsi="Arial"/>
          <w:sz w:val="20"/>
          <w:szCs w:val="20"/>
        </w:rPr>
        <w:t xml:space="preserve">Core identifiers for the plan. Plan Name and Case Number are required. All other fields are optional but strongly recommended — they drive task notes, email subjects, and sidebar display throughout the checklist.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4320"/>
      </w:tblGrid>
      <w:tr>
        <w:trPr>
          <w:tblHeader/>
        </w:trPr>
        <w:tc>
          <w:tcPr>
            <w:tcW w:type="dxa" w:w="3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144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Required</w:t>
            </w:r>
          </w:p>
        </w:tc>
        <w:tc>
          <w:tcPr>
            <w:tcW w:type="dxa" w:w="432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Plan Name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Yes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Used throughout the checklist, email subjects, and saved file names</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Case Number</w:t>
            </w:r>
          </w:p>
        </w:tc>
        <w:tc>
          <w:tcPr>
            <w:tcW w:type="dxa" w:w="14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Yes</w:t>
            </w:r>
          </w:p>
        </w:tc>
        <w:tc>
          <w:tcPr>
            <w:tcW w:type="dxa" w:w="43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Appears in every email subject line in [CASE #] format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Plan Type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Yes</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Conversion, Startup, or Merger — determines checklist scope and phase wording</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Effective Date</w:t>
            </w:r>
          </w:p>
        </w:tc>
        <w:tc>
          <w:tcPr>
            <w:tcW w:type="dxa" w:w="14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3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Target go-live date. Drives the countdown timer in the sidebar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Record Keeper / Prior</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Prior record keeper for conversions and mergers. Used in task notes and email bodies</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2.2 Internal Contacts</w:t>
      </w:r>
    </w:p>
    <w:p>
      <w:pPr>
        <w:spacing w:after="120"/>
      </w:pPr>
      <w:r>
        <w:rPr>
          <w:rFonts w:ascii="Arial" w:cs="Arial" w:eastAsia="Arial" w:hAnsi="Arial"/>
          <w:sz w:val="20"/>
          <w:szCs w:val="20"/>
        </w:rPr>
        <w:t xml:space="preserve">Internal team contacts. All email addresses entered here are auto-populated into the CC field on every email draft generated by the tool. Matt O'Connell is pre-filled as the QA/TC contact.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rPr>
          <w:tblHeader/>
        </w:trPr>
        <w:tc>
          <w:tcPr>
            <w:tcW w:type="dxa" w:w="32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144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Required</w:t>
            </w:r>
          </w:p>
        </w:tc>
        <w:tc>
          <w:tcPr>
            <w:tcW w:type="dxa" w:w="472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TM Name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Trust Manager name — used in task notes and email salutations</w:t>
            </w:r>
          </w:p>
        </w:tc>
      </w:tr>
      <w:tr>
        <w:tc>
          <w:tcPr>
            <w:tcW w:type="dxa" w:w="32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TM Email</w:t>
            </w:r>
          </w:p>
        </w:tc>
        <w:tc>
          <w:tcPr>
            <w:tcW w:type="dxa" w:w="14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Auto-added to CC on every email draft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TC Name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Trust Coordinator name — used in task notes and email salutations</w:t>
            </w:r>
          </w:p>
        </w:tc>
      </w:tr>
      <w:tr>
        <w:tc>
          <w:tcPr>
            <w:tcW w:type="dxa" w:w="32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TC Email</w:t>
            </w:r>
          </w:p>
        </w:tc>
        <w:tc>
          <w:tcPr>
            <w:tcW w:type="dxa" w:w="14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Auto-added to CC on every email draft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QA / Matt O'Connell</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Pre-filled</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Auto-populated with Matt O'Connell's contact information. Used in re-registration and TIK tasks</w:t>
            </w:r>
          </w:p>
        </w:tc>
      </w:tr>
      <w:tr>
        <w:tc>
          <w:tcPr>
            <w:tcW w:type="dxa" w:w="32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Cashiering Contact</w:t>
            </w:r>
          </w:p>
        </w:tc>
        <w:tc>
          <w:tcPr>
            <w:tcW w:type="dxa" w:w="14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Used in wire and advance employer task notes</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2.3 Plan Dates</w:t>
      </w:r>
    </w:p>
    <w:p>
      <w:pPr>
        <w:spacing w:after="120"/>
      </w:pPr>
      <w:r>
        <w:rPr>
          <w:rFonts w:ascii="Arial" w:cs="Arial" w:eastAsia="Arial" w:hAnsi="Arial"/>
          <w:sz w:val="20"/>
          <w:szCs w:val="20"/>
        </w:rPr>
        <w:t xml:space="preserve">Key milestone dates for the implementation. Dates entered here drive the countdown timer in the checklist sidebar and are injected into task notes and email bodies where relevant.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4720"/>
      </w:tblGrid>
      <w:tr>
        <w:trPr>
          <w:tblHeader/>
        </w:trPr>
        <w:tc>
          <w:tcPr>
            <w:tcW w:type="dxa" w:w="32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144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Required</w:t>
            </w:r>
          </w:p>
        </w:tc>
        <w:tc>
          <w:tcPr>
            <w:tcW w:type="dxa" w:w="472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Effective Date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Plan go-live date. Primary driver for the sidebar countdown timer</w:t>
            </w:r>
          </w:p>
        </w:tc>
      </w:tr>
      <w:tr>
        <w:tc>
          <w:tcPr>
            <w:tcW w:type="dxa" w:w="32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Kickoff Call Date</w:t>
            </w:r>
          </w:p>
        </w:tc>
        <w:tc>
          <w:tcPr>
            <w:tcW w:type="dxa" w:w="14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Target date for the initial kickoff call. Injected into kickoff task notes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Data Due Date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Deadline for participant data submission from the prior record keeper</w:t>
            </w:r>
          </w:p>
        </w:tc>
      </w:tr>
      <w:tr>
        <w:tc>
          <w:tcPr>
            <w:tcW w:type="dxa" w:w="32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Conversion Date</w:t>
            </w:r>
          </w:p>
        </w:tc>
        <w:tc>
          <w:tcPr>
            <w:tcW w:type="dxa" w:w="14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Optional</w:t>
            </w:r>
          </w:p>
        </w:tc>
        <w:tc>
          <w:tcPr>
            <w:tcW w:type="dxa" w:w="47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Internal target date for completing the conversion process</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2.4 Plan Type Selection</w:t>
      </w:r>
    </w:p>
    <w:p>
      <w:pPr>
        <w:spacing w:after="120"/>
      </w:pPr>
      <w:r>
        <w:rPr>
          <w:rFonts w:ascii="Arial" w:cs="Arial" w:eastAsia="Arial" w:hAnsi="Arial"/>
          <w:sz w:val="20"/>
          <w:szCs w:val="20"/>
        </w:rPr>
        <w:t xml:space="preserve">The Plan Type field is the primary configuration toggle on the intake form. It controls which phases appear, how tasks are worded, and which email templates are included.</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Plan Type</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Conversion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Full implementation checklist for plans converting from another record keeper. Includes TIK, re-registration, data loading, and prior RK coordination tasks</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Startup</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Checklist for new plans with no prior record keeper. Skips TIK and re-registration phases. Focuses on initial setup, data entry, and go-live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Merger</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Checklist for plans merging into an existing plan. Includes asset transfer coordination, TIK, and plan reconciliation tasks</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3. Generated Checklist</w:t>
      </w:r>
    </w:p>
    <w:p>
      <w:pPr>
        <w:spacing w:after="120"/>
      </w:pPr>
      <w:r>
        <w:rPr>
          <w:rFonts w:ascii="Arial" w:cs="Arial" w:eastAsia="Arial" w:hAnsi="Arial"/>
          <w:sz w:val="20"/>
          <w:szCs w:val="20"/>
        </w:rPr>
        <w:t xml:space="preserve">Clicking Generate Implementation Checklist validates that Plan Name and Case Number have been entered, reads all intake values, and renders the full checklist view. All intake data is captured at generation time — changes to the intake after generation require regenerating the checklist.</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8290A" w:sz="4"/>
              <w:left w:val="single" w:color="C8290A" w:sz="16"/>
              <w:bottom w:val="single" w:color="C8290A" w:sz="4"/>
              <w:right w:val="single" w:color="C8290A" w:sz="4"/>
            </w:tcBorders>
            <w:shd w:fill="FDE8E8" w:val="clear"/>
            <w:tcMar>
              <w:top w:type="dxa" w:w="100"/>
              <w:left w:type="dxa" w:w="160"/>
              <w:bottom w:type="dxa" w:w="100"/>
              <w:right w:type="dxa" w:w="160"/>
            </w:tcMar>
          </w:tcPr>
          <w:p>
            <w:pPr>
              <w:spacing w:after="0"/>
            </w:pPr>
            <w:r>
              <w:rPr>
                <w:rFonts w:ascii="Arial" w:cs="Arial" w:eastAsia="Arial" w:hAnsi="Arial"/>
                <w:b/>
                <w:bCs/>
                <w:color w:val="C8290A"/>
                <w:sz w:val="20"/>
                <w:szCs w:val="20"/>
              </w:rPr>
              <w:t xml:space="preserve">Important: </w:t>
            </w:r>
            <w:r>
              <w:rPr>
                <w:rFonts w:ascii="Arial" w:cs="Arial" w:eastAsia="Arial" w:hAnsi="Arial"/>
                <w:color w:val="7A1008"/>
                <w:sz w:val="20"/>
                <w:szCs w:val="20"/>
              </w:rPr>
              <w:t xml:space="preserve">Regenerating the checklist resets all checkbox progress. Use Quick Save or Save to File before returning to intake to preserve your work.</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3.1 Plan Banner</w:t>
      </w:r>
    </w:p>
    <w:p>
      <w:pPr>
        <w:spacing w:after="120"/>
      </w:pPr>
      <w:r>
        <w:rPr>
          <w:rFonts w:ascii="Arial" w:cs="Arial" w:eastAsia="Arial" w:hAnsi="Arial"/>
          <w:sz w:val="20"/>
          <w:szCs w:val="20"/>
        </w:rPr>
        <w:t xml:space="preserve">A summary bar displayed at the top of the checklist view. Shows plan name, case number, plan type badge, effective date, and assigned TM/TC. The plan type is displayed as a color-coded badge (blue for Conversion, green for Startup, purple for Merger).</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3.2 Phase Structure</w:t>
      </w:r>
    </w:p>
    <w:p>
      <w:pPr>
        <w:spacing w:after="120"/>
      </w:pPr>
      <w:r>
        <w:rPr>
          <w:rFonts w:ascii="Arial" w:cs="Arial" w:eastAsia="Arial" w:hAnsi="Arial"/>
          <w:sz w:val="20"/>
          <w:szCs w:val="20"/>
        </w:rPr>
        <w:t xml:space="preserve">The checklist is organized into sequential phases. Each phase has a color-coded number, title, subtitle, and an inline progress bar showing completed vs. total tasks. Phases can be collapsed or expanded by clicking the phase header — all start expanded.</w:t>
      </w:r>
    </w:p>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The phases included depend on Plan Type: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6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01</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Kickoff &amp; Initial Setup — Blue</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Covers initial internal team alignment, scheduling the kickoff call with the prior record keeper, distributing the plan document request list, and confirming key milestone dates. Includes an email button for the kickoff introduction email to the prior record keeper.</w:t>
      </w:r>
      <w:r>
        <w:rPr>
          <w:rFonts w:ascii="Arial" w:cs="Arial" w:eastAsia="Arial" w:hAnsi="Arial"/>
          <w:i/>
          <w:iCs/>
          <w:color w:val="7A7060"/>
          <w:sz w:val="20"/>
          <w:szCs w:val="20"/>
        </w:rPr>
        <w:t xml:space="preserve"> Applies to: Conversion, Merger.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B3FA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02</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Participant Data Collection — Purple</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Covers requesting participant census data, validating the data file against the expected format, documenting discrepancies, and confirming data receipt with the prior record keeper. Includes email buttons for the data request and data confirmation emails.</w:t>
      </w:r>
      <w:r>
        <w:rPr>
          <w:rFonts w:ascii="Arial" w:cs="Arial" w:eastAsia="Arial" w:hAnsi="Arial"/>
          <w:i/>
          <w:iCs/>
          <w:color w:val="7A7060"/>
          <w:sz w:val="20"/>
          <w:szCs w:val="20"/>
        </w:rPr>
        <w:t xml:space="preserve"> Applies to: Conversion, Merger.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60"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03</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Re-Registration &amp; Transfer In-Kind (TIK) — Teal</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Covers the full re-registration workflow: contacting Matt O'Connell (QA/TC/TM), submitting the re-registration request, tracking the in-kind transfer, and confirming receipt of transferred assets. Includes email buttons for re-registration outreach and TIK confirmation.</w:t>
      </w:r>
      <w:r>
        <w:rPr>
          <w:rFonts w:ascii="Arial" w:cs="Arial" w:eastAsia="Arial" w:hAnsi="Arial"/>
          <w:i/>
          <w:iCs/>
          <w:color w:val="7A7060"/>
          <w:sz w:val="20"/>
          <w:szCs w:val="20"/>
        </w:rPr>
        <w:t xml:space="preserve"> Applies to: Conversion, Merger.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45309"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04</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Plan Setup &amp; Configuration — Orange</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Covers system setup tasks: entering plan provisions in the system, configuring investment options, setting up contribution codes, confirming vesting schedules, and completing internal QA review. This phase is present for all plan types, with task wording adjusted for Startup vs. Conversion/Merger.</w:t>
      </w:r>
      <w:r>
        <w:rPr>
          <w:rFonts w:ascii="Arial" w:cs="Arial" w:eastAsia="Arial" w:hAnsi="Arial"/>
          <w:i/>
          <w:iCs/>
          <w:color w:val="7A7060"/>
          <w:sz w:val="20"/>
          <w:szCs w:val="20"/>
        </w:rPr>
        <w:t xml:space="preserve"> Applies to: All plan types.</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A0285A"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05</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Data Loading &amp; Validation — Pink</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Covers loading participant data into the system, validating balances against the prior record keeper statement, documenting and resolving exceptions, processing the advance employer contribution via Cashiering, and obtaining final data sign-off.</w:t>
      </w:r>
      <w:r>
        <w:rPr>
          <w:rFonts w:ascii="Arial" w:cs="Arial" w:eastAsia="Arial" w:hAnsi="Arial"/>
          <w:i/>
          <w:iCs/>
          <w:color w:val="7A7060"/>
          <w:sz w:val="20"/>
          <w:szCs w:val="20"/>
        </w:rPr>
        <w:t xml:space="preserve"> Applies to: Conversion, Merger. Startup version covers initial participant entry.</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7A4A" w:val="clear"/>
            <w:tcMar>
              <w:top w:type="dxa" w:w="80"/>
              <w:left w:type="dxa" w:w="140"/>
              <w:bottom w:type="dxa" w:w="80"/>
              <w:right w:type="dxa" w:w="140"/>
            </w:tcMar>
            <w:vAlign w:val="center"/>
          </w:tcPr>
          <w:p>
            <w:pPr>
              <w:spacing w:after="0"/>
              <w:jc w:val="center"/>
            </w:pPr>
            <w:r>
              <w:rPr>
                <w:rFonts w:ascii="Arial" w:cs="Arial" w:eastAsia="Arial" w:hAnsi="Arial"/>
                <w:b/>
                <w:bCs/>
                <w:color w:val="FFFFFF"/>
                <w:sz w:val="28"/>
                <w:szCs w:val="28"/>
              </w:rPr>
              <w:t xml:space="preserve">06</w:t>
            </w:r>
          </w:p>
        </w:tc>
        <w:tc>
          <w:tcPr>
            <w:tcW w:type="dxa" w:w="8560"/>
            <w:tcBorders>
              <w:top w:val="none" w:color="FFFFFF" w:sz="0"/>
              <w:left w:val="none" w:color="FFFFFF" w:sz="0"/>
              <w:bottom w:val="none" w:color="FFFFFF" w:sz="0"/>
              <w:right w:val="none" w:color="FFFFFF" w:sz="0"/>
            </w:tcBorders>
            <w:shd w:fill="F7F3EE" w:val="clear"/>
            <w:tcMar>
              <w:top w:type="dxa" w:w="80"/>
              <w:left w:type="dxa" w:w="160"/>
              <w:bottom w:type="dxa" w:w="80"/>
              <w:right w:type="dxa" w:w="120"/>
            </w:tcMar>
            <w:vAlign w:val="center"/>
          </w:tcPr>
          <w:p>
            <w:pPr>
              <w:spacing w:after="0"/>
            </w:pPr>
            <w:r>
              <w:rPr>
                <w:rFonts w:ascii="Arial" w:cs="Arial" w:eastAsia="Arial" w:hAnsi="Arial"/>
                <w:b/>
                <w:bCs/>
                <w:color w:val="0F0D0A"/>
                <w:sz w:val="22"/>
                <w:szCs w:val="22"/>
              </w:rPr>
              <w:t xml:space="preserve">Go-Live &amp; Wrap-Up — Green</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Covers go-live confirmation, first transaction monitoring, final reconciliation, internal handoff documentation, and marking the plan complete. Includes the go-live confirmation email to internal stakeholders and the prior record keeper closure notification.</w:t>
      </w:r>
      <w:r>
        <w:rPr>
          <w:rFonts w:ascii="Arial" w:cs="Arial" w:eastAsia="Arial" w:hAnsi="Arial"/>
          <w:i/>
          <w:iCs/>
          <w:color w:val="7A7060"/>
          <w:sz w:val="20"/>
          <w:szCs w:val="20"/>
        </w:rPr>
        <w:t xml:space="preserve"> Applies to: All plan types.</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3.3 Tasks</w:t>
      </w:r>
    </w:p>
    <w:p>
      <w:pPr>
        <w:spacing w:after="120"/>
      </w:pPr>
      <w:r>
        <w:rPr>
          <w:rFonts w:ascii="Arial" w:cs="Arial" w:eastAsia="Arial" w:hAnsi="Arial"/>
          <w:sz w:val="20"/>
          <w:szCs w:val="20"/>
        </w:rPr>
        <w:t xml:space="preserve">Each task has a checkbox, task text, and an optional note line displayed in monospace below it. Clicking anywhere on the task row toggles it complete. Completed tasks dim and show a filled checkbox. Progress updates instantly across the phase progress bar and the sidebar stats.</w:t>
      </w:r>
    </w:p>
    <w:p>
      <w:pPr>
        <w:spacing w:after="120"/>
      </w:pPr>
      <w:r>
        <w:rPr>
          <w:rFonts w:ascii="Arial" w:cs="Arial" w:eastAsia="Arial" w:hAnsi="Arial"/>
          <w:sz w:val="20"/>
          <w:szCs w:val="20"/>
        </w:rPr>
        <w:t xml:space="preserve">Tasks with email buttons display the button below the task text. Clicking an email button opens the email draft modal without toggling the task checkbox.</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4. Email Drafting</w:t>
      </w:r>
    </w:p>
    <w:p>
      <w:pPr>
        <w:spacing w:after="120"/>
      </w:pPr>
      <w:r>
        <w:rPr>
          <w:rFonts w:ascii="Arial" w:cs="Arial" w:eastAsia="Arial" w:hAnsi="Arial"/>
          <w:sz w:val="20"/>
          <w:szCs w:val="20"/>
        </w:rPr>
        <w:t xml:space="preserve">Every email button in the tool opens a pre-filled email modal. The modal contains four editable fields before the email is sent to Outlook.</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4.1 Modal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Field</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Pre-Filled With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To</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Prior record keeper contact, TM, TC, or internal contact depending on the task</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CC</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TM and TC emails from intake, comma-separated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Subject</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[Case Number] Plan Name — Context</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Body</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Fully written email with plan details, case number, dates, and instructions</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All fields are editable before sending. Changes made in the modal do not affect stored intake data.</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4.2 Sending</w:t>
      </w:r>
    </w:p>
    <w:p>
      <w:pPr>
        <w:spacing w:after="120"/>
      </w:pPr>
      <w:r>
        <w:rPr>
          <w:rFonts w:ascii="Arial" w:cs="Arial" w:eastAsia="Arial" w:hAnsi="Arial"/>
          <w:sz w:val="20"/>
          <w:szCs w:val="20"/>
        </w:rPr>
        <w:t xml:space="preserve">Clicking Open in Outlook fires the email directly into Outlook using a mailto: link. This requires Outlook to be set as the default mail application in Windows (Settings &gt; Apps &gt; Default Apps &gt; MAILTO &gt; Microsoft Outlook). The modal closes automatically after sending.</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4.3 Pre-Written Email Templates</w:t>
      </w:r>
    </w:p>
    <w:p>
      <w:pPr>
        <w:spacing w:after="120"/>
      </w:pPr>
      <w:r>
        <w:rPr>
          <w:rFonts w:ascii="Arial" w:cs="Arial" w:eastAsia="Arial" w:hAnsi="Arial"/>
          <w:sz w:val="20"/>
          <w:szCs w:val="20"/>
        </w:rPr>
        <w:t xml:space="preserve">The following fully written emails are included in the tool:</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120"/>
        <w:gridCol w:w="2640"/>
      </w:tblGrid>
      <w:tr>
        <w:trPr>
          <w:tblHeader/>
        </w:trPr>
        <w:tc>
          <w:tcPr>
            <w:tcW w:type="dxa" w:w="36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Email</w:t>
            </w:r>
          </w:p>
        </w:tc>
        <w:tc>
          <w:tcPr>
            <w:tcW w:type="dxa" w:w="312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Trigger</w:t>
            </w:r>
          </w:p>
        </w:tc>
        <w:tc>
          <w:tcPr>
            <w:tcW w:type="dxa" w:w="264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Recipient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Kickoff Introduction</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01 — kickoff task</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Prior Record Keeper</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Document Request List</w:t>
            </w:r>
          </w:p>
        </w:tc>
        <w:tc>
          <w:tcPr>
            <w:tcW w:type="dxa" w:w="31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01 — document request task</w:t>
            </w:r>
          </w:p>
        </w:tc>
        <w:tc>
          <w:tcPr>
            <w:tcW w:type="dxa" w:w="26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Prior Record Keeper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Participant Data Request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02 — data request task</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Prior Record Keeper</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Data Receipt Confirmation</w:t>
            </w:r>
          </w:p>
        </w:tc>
        <w:tc>
          <w:tcPr>
            <w:tcW w:type="dxa" w:w="31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02 — data confirmation task</w:t>
            </w:r>
          </w:p>
        </w:tc>
        <w:tc>
          <w:tcPr>
            <w:tcW w:type="dxa" w:w="26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Prior Record Keeper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Re-Registration Outreach</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03 — re-reg task</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Matt O'Connell / QA</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TIK Confirmation</w:t>
            </w:r>
          </w:p>
        </w:tc>
        <w:tc>
          <w:tcPr>
            <w:tcW w:type="dxa" w:w="31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03 — TIK receipt task</w:t>
            </w:r>
          </w:p>
        </w:tc>
        <w:tc>
          <w:tcPr>
            <w:tcW w:type="dxa" w:w="26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Internal / QA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Advance Employer Request</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05 — AE contribution task</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Cashiering</w:t>
            </w:r>
          </w:p>
        </w:tc>
      </w:tr>
      <w:tr>
        <w:tc>
          <w:tcPr>
            <w:tcW w:type="dxa" w:w="36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Go-Live Confirmation</w:t>
            </w:r>
          </w:p>
        </w:tc>
        <w:tc>
          <w:tcPr>
            <w:tcW w:type="dxa" w:w="312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06 — go-live task</w:t>
            </w:r>
          </w:p>
        </w:tc>
        <w:tc>
          <w:tcPr>
            <w:tcW w:type="dxa" w:w="264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Internal / Prior RK</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4.4 Sidebar Quick Email Buttons</w:t>
      </w:r>
    </w:p>
    <w:p>
      <w:pPr>
        <w:spacing w:after="120"/>
      </w:pPr>
      <w:r>
        <w:rPr>
          <w:rFonts w:ascii="Arial" w:cs="Arial" w:eastAsia="Arial" w:hAnsi="Arial"/>
          <w:sz w:val="20"/>
          <w:szCs w:val="20"/>
        </w:rPr>
        <w:t xml:space="preserve">The sidebar displays a contact card for each contact whose email was provided in intake. Each card has a one-click email button that opens a blank-body modal pre-addressed to that contact — useful for ad hoc communication outside of specific tasks.</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5. Sidebar</w:t>
      </w:r>
    </w:p>
    <w:p>
      <w:pPr>
        <w:spacing w:after="120"/>
      </w:pPr>
      <w:r>
        <w:rPr>
          <w:rFonts w:ascii="Arial" w:cs="Arial" w:eastAsia="Arial" w:hAnsi="Arial"/>
          <w:sz w:val="20"/>
          <w:szCs w:val="20"/>
        </w:rPr>
        <w:t xml:space="preserve">The sidebar is fixed to the left side of the checklist view and remains visible while scrolling through phases. It provides at-a-glance progress tracking, a countdown timer to the effective date, contact access, phase navigation, and all save/load actions.</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5.1 Plan Card</w:t>
      </w:r>
    </w:p>
    <w:p>
      <w:pPr>
        <w:spacing w:after="120"/>
      </w:pPr>
      <w:r>
        <w:rPr>
          <w:rFonts w:ascii="Arial" w:cs="Arial" w:eastAsia="Arial" w:hAnsi="Arial"/>
          <w:sz w:val="20"/>
          <w:szCs w:val="20"/>
        </w:rPr>
        <w:t xml:space="preserve">Displays plan name, case number, and plan type badge.</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5.2 Countdown Timer</w:t>
      </w:r>
    </w:p>
    <w:p>
      <w:pPr>
        <w:spacing w:after="120"/>
      </w:pPr>
      <w:r>
        <w:rPr>
          <w:rFonts w:ascii="Arial" w:cs="Arial" w:eastAsia="Arial" w:hAnsi="Arial"/>
          <w:sz w:val="20"/>
          <w:szCs w:val="20"/>
        </w:rPr>
        <w:t xml:space="preserve">A live countdown displaying days, hours, minutes, and seconds remaining until the Effective Date entered in intake. Updates in real time. If no Effective Date was entered, the timer is hidden. The timer turns red when fewer than 14 days remain.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The countdown timer is display-only. It does not trigger any actions or alerts when it reaches zero.</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5.3 Status</w:t>
      </w:r>
    </w:p>
    <w:p>
      <w:pPr>
        <w:spacing w:after="120"/>
      </w:pPr>
      <w:r>
        <w:rPr>
          <w:rFonts w:ascii="Arial" w:cs="Arial" w:eastAsia="Arial" w:hAnsi="Arial"/>
          <w:sz w:val="20"/>
          <w:szCs w:val="20"/>
        </w:rPr>
        <w:t xml:space="preserve">A clickable dropdown with three options. Status is saved with the plan in both quick save and file save.</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528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Status</w:t>
            </w:r>
          </w:p>
        </w:tc>
        <w:tc>
          <w:tcPr>
            <w:tcW w:type="dxa" w:w="16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Indicator</w:t>
            </w:r>
          </w:p>
        </w:tc>
        <w:tc>
          <w:tcPr>
            <w:tcW w:type="dxa" w:w="528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Usage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Active</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Green dot</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Default on generation — plan is in progress</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Complete</w:t>
            </w:r>
          </w:p>
        </w:tc>
        <w:tc>
          <w:tcPr>
            <w:tcW w:type="dxa" w:w="16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Yellow dot</w:t>
            </w:r>
          </w:p>
        </w:tc>
        <w:tc>
          <w:tcPr>
            <w:tcW w:type="dxa" w:w="528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All tasks done, implementation fully wrapped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On Hold</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Red dot</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Plan paused — outstanding blocker or waiting on prior RK</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5.4 Progress</w:t>
      </w:r>
    </w:p>
    <w:p>
      <w:pPr>
        <w:spacing w:after="120"/>
      </w:pPr>
      <w:r>
        <w:rPr>
          <w:rFonts w:ascii="Arial" w:cs="Arial" w:eastAsia="Arial" w:hAnsi="Arial"/>
          <w:sz w:val="20"/>
          <w:szCs w:val="20"/>
        </w:rPr>
        <w:t xml:space="preserve">Two stat tiles showing tasks completed and total tasks, plus a percentage progress bar. Updates in real time as tasks are checked off.</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5.5 Contact Cards</w:t>
      </w:r>
    </w:p>
    <w:p>
      <w:pPr>
        <w:spacing w:after="120"/>
      </w:pPr>
      <w:r>
        <w:rPr>
          <w:rFonts w:ascii="Arial" w:cs="Arial" w:eastAsia="Arial" w:hAnsi="Arial"/>
          <w:sz w:val="20"/>
          <w:szCs w:val="20"/>
        </w:rPr>
        <w:t xml:space="preserve">One card per contact whose email was provided in intake. Each card shows the contact role, name, email address, and a quick email button. Only appears if at least one contact email was entered.</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5.6 Phase Jump Links</w:t>
      </w:r>
    </w:p>
    <w:p>
      <w:pPr>
        <w:spacing w:after="120"/>
      </w:pPr>
      <w:r>
        <w:rPr>
          <w:rFonts w:ascii="Arial" w:cs="Arial" w:eastAsia="Arial" w:hAnsi="Arial"/>
          <w:sz w:val="20"/>
          <w:szCs w:val="20"/>
        </w:rPr>
        <w:t xml:space="preserve">One button per phase. Clicking smoothly scrolls the main content area to that phase. Useful on longer checklists or when jumping back to a specific section mid-review.</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5.7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 Quick Save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Saves current state to browser localStorage. Also triggers silently on every checkbox toggle</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 Save to File</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Downloads a .json file with full plan state — intake, checkboxes, status, plan type, and timestamp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 Load from File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Opens a file picker to restore any previously saved .json file</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 Export CSV</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Downloads a spreadsheet of all tasks with phase, note, tags, and completion 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 Edit Intake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Returns to the intake form with all fields pre-populated. Regenerating resets checkbox progress</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6. Save &amp; Load System</w:t>
      </w:r>
    </w:p>
    <w:p>
      <w:pPr>
        <w:spacing w:after="120"/>
      </w:pPr>
      <w:r>
        <w:rPr>
          <w:rFonts w:ascii="Arial" w:cs="Arial" w:eastAsia="Arial" w:hAnsi="Arial"/>
          <w:sz w:val="20"/>
          <w:szCs w:val="20"/>
        </w:rPr>
        <w:t xml:space="preserve">The tool provides two distinct save methods — Quick Save for in-session convenience, and Save to File for portable, long-term storage.</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6.1 Quick Save</w:t>
      </w:r>
    </w:p>
    <w:p>
      <w:pPr>
        <w:spacing w:after="120"/>
      </w:pPr>
      <w:r>
        <w:rPr>
          <w:rFonts w:ascii="Arial" w:cs="Arial" w:eastAsia="Arial" w:hAnsi="Arial"/>
          <w:sz w:val="20"/>
          <w:szCs w:val="20"/>
        </w:rPr>
        <w:t xml:space="preserve">Saves the full plan state to browser localStorage under a key derived from the plan name and case number. Quick saves persist in the browser until the browser cache is cleared. This method is fast and automatic — it also triggers silently every time a task is checked off.</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6A817" w:sz="4"/>
              <w:left w:val="single" w:color="E6A817" w:sz="16"/>
              <w:bottom w:val="single" w:color="E6A817" w:sz="4"/>
              <w:right w:val="single" w:color="E6A817" w:sz="4"/>
            </w:tcBorders>
            <w:shd w:fill="FFF3CD" w:val="clear"/>
            <w:tcMar>
              <w:top w:type="dxa" w:w="100"/>
              <w:left w:type="dxa" w:w="160"/>
              <w:bottom w:type="dxa" w:w="100"/>
              <w:right w:type="dxa" w:w="160"/>
            </w:tcMar>
          </w:tcPr>
          <w:p>
            <w:pPr>
              <w:spacing w:after="0"/>
            </w:pPr>
            <w:r>
              <w:rPr>
                <w:rFonts w:ascii="Arial" w:cs="Arial" w:eastAsia="Arial" w:hAnsi="Arial"/>
                <w:b/>
                <w:bCs/>
                <w:color w:val="7A5800"/>
                <w:sz w:val="20"/>
                <w:szCs w:val="20"/>
              </w:rPr>
              <w:t xml:space="preserve">Note: </w:t>
            </w:r>
            <w:r>
              <w:rPr>
                <w:rFonts w:ascii="Arial" w:cs="Arial" w:eastAsia="Arial" w:hAnsi="Arial"/>
                <w:color w:val="5C4200"/>
                <w:sz w:val="20"/>
                <w:szCs w:val="20"/>
              </w:rPr>
              <w:t xml:space="preserve">Quick saves are browser-specific. They will not transfer between computers or browsers. For anything that needs to persist across devices, use Save to File.</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6.2 Save to File</w:t>
      </w:r>
    </w:p>
    <w:p>
      <w:pPr>
        <w:spacing w:after="120"/>
      </w:pPr>
      <w:r>
        <w:rPr>
          <w:rFonts w:ascii="Arial" w:cs="Arial" w:eastAsia="Arial" w:hAnsi="Arial"/>
          <w:sz w:val="20"/>
          <w:szCs w:val="20"/>
        </w:rPr>
        <w:t xml:space="preserve">Downloads a .json file containing the full plan state: all intake fields, checkbox states, status, plan type, and a timestamp. This is the recommended save method for plans that need to persist across devices, sessions, or browsers.</w:t>
      </w:r>
    </w:p>
    <w:p>
      <w:pPr>
        <w:spacing w:after="120"/>
      </w:pPr>
      <w:r>
        <w:rPr>
          <w:rFonts w:ascii="Arial" w:cs="Arial" w:eastAsia="Arial" w:hAnsi="Arial"/>
          <w:sz w:val="20"/>
          <w:szCs w:val="20"/>
        </w:rPr>
        <w:t xml:space="preserve">Files are named automatically in this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EDE4" w:val="clear"/>
            <w:tcMar>
              <w:top w:type="dxa" w:w="100"/>
              <w:left w:type="dxa" w:w="200"/>
              <w:bottom w:type="dxa" w:w="100"/>
              <w:right w:type="dxa" w:w="200"/>
            </w:tcMar>
          </w:tcPr>
          <w:p>
            <w:pPr>
              <w:spacing w:after="0"/>
            </w:pPr>
            <w:r>
              <w:rPr>
                <w:rFonts w:ascii="Courier New" w:cs="Courier New" w:eastAsia="Courier New" w:hAnsi="Courier New"/>
                <w:color w:val="C8290A"/>
                <w:sz w:val="20"/>
                <w:szCs w:val="20"/>
              </w:rPr>
              <w:t xml:space="preserve">PlanName_CaseNumber_YYYYMMDD.json</w:t>
            </w:r>
          </w:p>
        </w:tc>
      </w:tr>
    </w:tbl>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6.3 Load from File</w:t>
      </w:r>
    </w:p>
    <w:p>
      <w:pPr>
        <w:spacing w:after="120"/>
      </w:pPr>
      <w:r>
        <w:rPr>
          <w:rFonts w:ascii="Arial" w:cs="Arial" w:eastAsia="Arial" w:hAnsi="Arial"/>
          <w:sz w:val="20"/>
          <w:szCs w:val="20"/>
        </w:rPr>
        <w:t xml:space="preserve">Accepts any .json file previously saved by the tool. Restores all intake data, task states, plan status, and plan type exactly as saved. Available from both the sidebar Actions panel and from the Load modal in the header.</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6.4 Load Modal</w:t>
      </w:r>
    </w:p>
    <w:p>
      <w:pPr>
        <w:spacing w:after="120"/>
      </w:pPr>
      <w:r>
        <w:rPr>
          <w:rFonts w:ascii="Arial" w:cs="Arial" w:eastAsia="Arial" w:hAnsi="Arial"/>
          <w:sz w:val="20"/>
          <w:szCs w:val="20"/>
        </w:rPr>
        <w:t xml:space="preserve">Accessible via the Load button in the header. Displays all quick-saved plans in the browser, each showing plan name, case number, plan type badge, status indicator, and save date. Click any card to restore instantly. Also contains a Load from File option for .json file restores.</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7. Export</w:t>
      </w:r>
    </w:p>
    <w:p>
      <w:pPr>
        <w:pStyle w:val="Heading2"/>
        <w:spacing w:before="280" w:after="120"/>
      </w:pPr>
      <w:r>
        <w:rPr>
          <w:rFonts w:ascii="Arial" w:cs="Arial" w:eastAsia="Arial" w:hAnsi="Arial"/>
          <w:b/>
          <w:bCs/>
          <w:color w:val="0F0D0A"/>
          <w:sz w:val="24"/>
          <w:szCs w:val="24"/>
        </w:rPr>
        <w:t xml:space="preserve">7.1 CSV Export</w:t>
      </w:r>
    </w:p>
    <w:p>
      <w:pPr>
        <w:spacing w:after="120"/>
      </w:pPr>
      <w:r>
        <w:rPr>
          <w:rFonts w:ascii="Arial" w:cs="Arial" w:eastAsia="Arial" w:hAnsi="Arial"/>
          <w:sz w:val="20"/>
          <w:szCs w:val="20"/>
        </w:rPr>
        <w:t xml:space="preserve">Exports all tasks across all phases to a .csv file. Compatible with Microsoft Excel and any standard spreadsheet application.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Column</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Content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Phase title (e.g. "Kickoff &amp; Initial Setup")</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Task</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Full task text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Note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Task note / sub-text if present</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Tags</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Comma-separated tag list (e.g. "email, critical, tik")</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Status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Complete or Pending</w:t>
            </w:r>
          </w:p>
        </w:tc>
      </w:tr>
    </w:tbl>
    <w:p>
      <w:pPr>
        <w:spacing w:after="80"/>
      </w:pPr>
      <w:r>
        <w:rPr>
          <w:rFonts w:ascii="Arial" w:cs="Arial" w:eastAsia="Arial" w:hAnsi="Arial"/>
          <w:sz w:val="20"/>
          <w:szCs w:val="20"/>
        </w:rPr>
        <w:t xml:space="preserve"/>
      </w:r>
    </w:p>
    <w:p>
      <w:pPr>
        <w:spacing w:after="120"/>
      </w:pPr>
      <w:r>
        <w:rPr>
          <w:rFonts w:ascii="Arial" w:cs="Arial" w:eastAsia="Arial" w:hAnsi="Arial"/>
          <w:sz w:val="20"/>
          <w:szCs w:val="20"/>
        </w:rPr>
        <w:t xml:space="preserve">File is named automatically: </w:t>
      </w:r>
      <w:r>
        <w:rPr>
          <w:rFonts w:ascii="Courier New" w:cs="Courier New" w:eastAsia="Courier New" w:hAnsi="Courier New"/>
          <w:color w:val="C8290A"/>
          <w:sz w:val="20"/>
          <w:szCs w:val="20"/>
        </w:rPr>
        <w:t xml:space="preserve">PlanName_implementation_checklist.csv</w:t>
      </w:r>
    </w:p>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8. Navigation</w:t>
      </w:r>
    </w:p>
    <w:p>
      <w:pPr>
        <w:pStyle w:val="Heading2"/>
        <w:spacing w:before="280" w:after="120"/>
      </w:pPr>
      <w:r>
        <w:rPr>
          <w:rFonts w:ascii="Arial" w:cs="Arial" w:eastAsia="Arial" w:hAnsi="Arial"/>
          <w:b/>
          <w:bCs/>
          <w:color w:val="0F0D0A"/>
          <w:sz w:val="24"/>
          <w:szCs w:val="24"/>
        </w:rPr>
        <w:t xml:space="preserve">8.1 Intake to Checklist</w:t>
      </w:r>
    </w:p>
    <w:p>
      <w:pPr>
        <w:spacing w:after="120"/>
      </w:pPr>
      <w:r>
        <w:rPr>
          <w:rFonts w:ascii="Arial" w:cs="Arial" w:eastAsia="Arial" w:hAnsi="Arial"/>
          <w:sz w:val="20"/>
          <w:szCs w:val="20"/>
        </w:rPr>
        <w:t xml:space="preserve">Fill out the intake form and click Generate Implementation Checklist. Plan Name and Case Number are the only required fields — all other fields are optional. The checklist generates immediately with all entered data woven into task notes, email templates, phase content, and the countdown timer.</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8.2 Checklist to Intake</w:t>
      </w:r>
    </w:p>
    <w:p>
      <w:pPr>
        <w:spacing w:after="120"/>
      </w:pPr>
      <w:r>
        <w:rPr>
          <w:rFonts w:ascii="Arial" w:cs="Arial" w:eastAsia="Arial" w:hAnsi="Arial"/>
          <w:sz w:val="20"/>
          <w:szCs w:val="20"/>
        </w:rPr>
        <w:t xml:space="preserve">Click Edit Intake in the sidebar or New Plan in the header. All intake fields are restored from the current plan state — nothing is lost. After making edits, click Generate again to rebuild the checklist. Note that regenerating resets all checkbox progress, so save first.</w:t>
      </w:r>
    </w:p>
    <w:p>
      <w:pPr>
        <w:spacing w:after="80"/>
      </w:pPr>
      <w:r>
        <w:rPr>
          <w:rFonts w:ascii="Arial" w:cs="Arial" w:eastAsia="Arial" w:hAnsi="Arial"/>
          <w:sz w:val="20"/>
          <w:szCs w:val="20"/>
        </w:rPr>
        <w:t xml:space="preserve"/>
      </w:r>
    </w:p>
    <w:p>
      <w:pPr>
        <w:pStyle w:val="Heading2"/>
        <w:spacing w:before="280" w:after="120"/>
      </w:pPr>
      <w:r>
        <w:rPr>
          <w:rFonts w:ascii="Arial" w:cs="Arial" w:eastAsia="Arial" w:hAnsi="Arial"/>
          <w:b/>
          <w:bCs/>
          <w:color w:val="0F0D0A"/>
          <w:sz w:val="24"/>
          <w:szCs w:val="24"/>
        </w:rPr>
        <w:t xml:space="preserve">8.3 Header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Button</w:t>
            </w:r>
          </w:p>
        </w:tc>
        <w:tc>
          <w:tcPr>
            <w:tcW w:type="dxa" w:w="6960"/>
            <w:tcBorders>
              <w:top w:val="single" w:color="999999" w:sz="4"/>
              <w:left w:val="single" w:color="999999" w:sz="4"/>
              <w:bottom w:val="single" w:color="999999" w:sz="4"/>
              <w:right w:val="single" w:color="999999" w:sz="4"/>
            </w:tcBorders>
            <w:shd w:fill="0F0D0A"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 Load</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pPr>
            <w:r>
              <w:rPr>
                <w:rFonts w:ascii="Arial" w:cs="Arial" w:eastAsia="Arial" w:hAnsi="Arial"/>
                <w:color w:val="0F0D0A"/>
                <w:sz w:val="18"/>
                <w:szCs w:val="18"/>
              </w:rPr>
              <w:t xml:space="preserve">Opens the load modal to restore a quick-saved or file-saved plan</w:t>
            </w:r>
          </w:p>
        </w:tc>
      </w:tr>
      <w:tr>
        <w:tc>
          <w:tcPr>
            <w:tcW w:type="dxa" w:w="240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 New Plan</w:t>
            </w:r>
          </w:p>
        </w:tc>
        <w:tc>
          <w:tcPr>
            <w:tcW w:type="dxa" w:w="6960"/>
            <w:tcBorders>
              <w:top w:val="single" w:color="CCCCCC" w:sz="4"/>
              <w:left w:val="single" w:color="CCCCCC" w:sz="4"/>
              <w:bottom w:val="single" w:color="CCCCCC" w:sz="4"/>
              <w:right w:val="single" w:color="CCCCCC" w:sz="4"/>
            </w:tcBorders>
            <w:shd w:fill="F7F3EE" w:val="clear"/>
            <w:tcMar>
              <w:top w:type="dxa" w:w="80"/>
              <w:left w:type="dxa" w:w="120"/>
              <w:bottom w:type="dxa" w:w="80"/>
              <w:right w:type="dxa" w:w="120"/>
            </w:tcMar>
          </w:tcPr>
          <w:p>
            <w:pPr>
              <w:spacing w:after="0"/>
            </w:pPr>
            <w:r>
              <w:rPr>
                <w:rFonts w:ascii="Arial" w:cs="Arial" w:eastAsia="Arial" w:hAnsi="Arial"/>
                <w:color w:val="0F0D0A"/>
                <w:sz w:val="18"/>
                <w:szCs w:val="18"/>
              </w:rPr>
              <w:t xml:space="preserve">Returns to the intake form</w:t>
            </w:r>
          </w:p>
        </w:tc>
      </w:tr>
    </w:tbl>
    <w:p>
      <w:pPr>
        <w:spacing w:after="80"/>
      </w:pPr>
      <w:r>
        <w:rPr>
          <w:rFonts w:ascii="Arial" w:cs="Arial" w:eastAsia="Arial" w:hAnsi="Arial"/>
          <w:sz w:val="20"/>
          <w:szCs w:val="20"/>
        </w:rPr>
        <w:t xml:space="preserve"/>
      </w:r>
    </w:p>
    <w:p>
      <w:pPr>
        <w:pStyle w:val="Heading1"/>
        <w:pBdr>
          <w:bottom w:val="single" w:color="C8290A" w:sz="8" w:space="4"/>
        </w:pBdr>
        <w:spacing w:before="360" w:after="160"/>
      </w:pPr>
      <w:r>
        <w:rPr>
          <w:rFonts w:ascii="Arial" w:cs="Arial" w:eastAsia="Arial" w:hAnsi="Arial"/>
          <w:b/>
          <w:bCs/>
          <w:color w:val="0F0D0A"/>
          <w:sz w:val="32"/>
          <w:szCs w:val="32"/>
        </w:rPr>
        <w:t xml:space="preserve">9. Technical Notes</w:t>
      </w:r>
    </w:p>
    <w:p>
      <w:pPr>
        <w:pStyle w:val="ListParagraph"/>
        <w:numPr>
          <w:ilvl w:val="0"/>
          <w:numId w:val="2"/>
        </w:numPr>
        <w:spacing w:after="80"/>
      </w:pPr>
      <w:r>
        <w:rPr>
          <w:rFonts w:ascii="Arial" w:cs="Arial" w:eastAsia="Arial" w:hAnsi="Arial"/>
          <w:color w:val="0F0D0A"/>
          <w:sz w:val="20"/>
          <w:szCs w:val="20"/>
        </w:rPr>
        <w:t xml:space="preserve">Runs entirely as a single self-contained .html file — no server, no backend, no dependencies beyond the initial font load from Google Fonts.</w:t>
      </w:r>
    </w:p>
    <w:p>
      <w:pPr>
        <w:pStyle w:val="ListParagraph"/>
        <w:numPr>
          <w:ilvl w:val="0"/>
          <w:numId w:val="2"/>
        </w:numPr>
        <w:spacing w:after="80"/>
      </w:pPr>
      <w:r>
        <w:rPr>
          <w:rFonts w:ascii="Arial" w:cs="Arial" w:eastAsia="Arial" w:hAnsi="Arial"/>
          <w:color w:val="0F0D0A"/>
          <w:sz w:val="20"/>
          <w:szCs w:val="20"/>
        </w:rPr>
        <w:t xml:space="preserve">All plan data is held in memory during the session. Quick Save uses browser localStorage as a secondary backup layer.</w:t>
      </w:r>
    </w:p>
    <w:p>
      <w:pPr>
        <w:pStyle w:val="ListParagraph"/>
        <w:numPr>
          <w:ilvl w:val="0"/>
          <w:numId w:val="2"/>
        </w:numPr>
        <w:spacing w:after="80"/>
      </w:pPr>
      <w:r>
        <w:rPr>
          <w:rFonts w:ascii="Arial" w:cs="Arial" w:eastAsia="Arial" w:hAnsi="Arial"/>
          <w:color w:val="0F0D0A"/>
          <w:sz w:val="20"/>
          <w:szCs w:val="20"/>
        </w:rPr>
        <w:t xml:space="preserve">Email functionality requires Outlook to be set as the Windows default mail application. This is configured in Windows Settings &gt; Apps &gt; Default Apps &gt; MAILTO &gt; Microsoft Outlook.</w:t>
      </w:r>
    </w:p>
    <w:p>
      <w:pPr>
        <w:pStyle w:val="ListParagraph"/>
        <w:numPr>
          <w:ilvl w:val="0"/>
          <w:numId w:val="2"/>
        </w:numPr>
        <w:spacing w:after="80"/>
      </w:pPr>
      <w:r>
        <w:rPr>
          <w:rFonts w:ascii="Arial" w:cs="Arial" w:eastAsia="Arial" w:hAnsi="Arial"/>
          <w:color w:val="0F0D0A"/>
          <w:sz w:val="20"/>
          <w:szCs w:val="20"/>
        </w:rPr>
        <w:t xml:space="preserve">Edge is the recommended browser for reliable mailto behavior when opening the tool from the local file system. Chrome may block mailto links fired from local file:// pages.</w:t>
      </w:r>
    </w:p>
    <w:p>
      <w:pPr>
        <w:pStyle w:val="ListParagraph"/>
        <w:numPr>
          <w:ilvl w:val="0"/>
          <w:numId w:val="2"/>
        </w:numPr>
        <w:spacing w:after="80"/>
      </w:pPr>
      <w:r>
        <w:rPr>
          <w:rFonts w:ascii="Arial" w:cs="Arial" w:eastAsia="Arial" w:hAnsi="Arial"/>
          <w:color w:val="0F0D0A"/>
          <w:sz w:val="20"/>
          <w:szCs w:val="20"/>
        </w:rPr>
        <w:t xml:space="preserve">The countdown timer runs entirely in the browser using JavaScript setInterval. It does not require any server connection or external time source.</w:t>
      </w:r>
    </w:p>
    <w:p>
      <w:pPr>
        <w:pStyle w:val="ListParagraph"/>
        <w:numPr>
          <w:ilvl w:val="0"/>
          <w:numId w:val="2"/>
        </w:numPr>
        <w:spacing w:after="80"/>
      </w:pPr>
      <w:r>
        <w:rPr>
          <w:rFonts w:ascii="Arial" w:cs="Arial" w:eastAsia="Arial" w:hAnsi="Arial"/>
          <w:color w:val="0F0D0A"/>
          <w:sz w:val="20"/>
          <w:szCs w:val="20"/>
        </w:rPr>
        <w:t xml:space="preserve">Phase content is dynamically generated at checklist creation time based on the Plan Type selection. Changing Plan Type after generation requires regenerating the checklist.</w:t>
      </w:r>
    </w:p>
    <w:p>
      <w:pPr>
        <w:pStyle w:val="ListParagraph"/>
        <w:numPr>
          <w:ilvl w:val="0"/>
          <w:numId w:val="2"/>
        </w:numPr>
        <w:spacing w:after="80"/>
      </w:pPr>
      <w:r>
        <w:rPr>
          <w:rFonts w:ascii="Arial" w:cs="Arial" w:eastAsia="Arial" w:hAnsi="Arial"/>
          <w:color w:val="0F0D0A"/>
          <w:sz w:val="20"/>
          <w:szCs w:val="20"/>
        </w:rPr>
        <w:t xml:space="preserve">The tool does not transmit any data externally. All saves, loads, and exports happen entirely within the browser.</w:t>
      </w:r>
    </w:p>
    <w:p>
      <w:pPr>
        <w:spacing w:after="80"/>
      </w:pPr>
      <w:r>
        <w:rPr>
          <w:rFonts w:ascii="Arial" w:cs="Arial" w:eastAsia="Arial" w:hAnsi="Arial"/>
          <w:sz w:val="20"/>
          <w:szCs w:val="2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pPr>
    <w:r>
      <w:rPr>
        <w:rFonts w:ascii="Arial" w:cs="Arial" w:eastAsia="Arial" w:hAnsi="Arial"/>
        <w:color w:val="7A7060"/>
        <w:sz w:val="16"/>
        <w:szCs w:val="16"/>
      </w:rPr>
      <w:t xml:space="preserve">Internal Use Only  —  Data Consulting Division</w:t>
    </w:r>
    <w:r>
      <w:rPr>
        <w:rFonts w:ascii="Arial" w:cs="Arial" w:eastAsia="Arial" w:hAnsi="Arial"/>
        <w:sz w:val="16"/>
        <w:szCs w:val="16"/>
      </w:rPr>
      <w:t xml:space="preserve">	</w:t>
    </w:r>
    <w:r>
      <w:rPr>
        <w:rFonts w:ascii="Arial" w:cs="Arial" w:eastAsia="Arial" w:hAnsi="Arial"/>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7A7060"/>
        <w:sz w:val="16"/>
        <w:szCs w:val="16"/>
      </w:rPr>
      <w:t xml:space="preserve">Implementation Checklist Generator  —  User Guide</w:t>
    </w:r>
    <w:r>
      <w:rPr>
        <w:rFonts w:ascii="Arial" w:cs="Arial" w:eastAsia="Arial" w:hAnsi="Arial"/>
        <w:sz w:val="16"/>
        <w:szCs w:val="16"/>
      </w:rPr>
      <w:t xml:space="preserve">	</w:t>
    </w:r>
    <w:r>
      <w:rPr>
        <w:rFonts w:ascii="Arial" w:cs="Arial" w:eastAsia="Arial" w:hAnsi="Arial"/>
        <w:i/>
        <w:iCs/>
        <w:color w:val="7A7060"/>
        <w:sz w:val="16"/>
        <w:szCs w:val="16"/>
      </w:rPr>
      <w:t xml:space="preserve">Data Consulting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0D0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0D0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0D0A"/>
      <w:sz w:val="24"/>
      <w:szCs w:val="24"/>
    </w:rPr>
  </w:style>
  <w:style w:type="paragraph" w:styleId="Heading3">
    <w:name w:val="Heading 3"/>
    <w:basedOn w:val="Normal"/>
    <w:next w:val="Normal"/>
    <w:qFormat/>
    <w:pPr>
      <w:spacing w:before="200" w:after="80"/>
      <w:outlineLvl w:val="2"/>
    </w:pPr>
    <w:rPr>
      <w:rFonts w:ascii="Arial" w:cs="Arial" w:eastAsia="Arial" w:hAnsi="Arial"/>
      <w:b/>
      <w:bCs/>
      <w:color w:val="7A70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2026-03-12T03:33:26.452Z</dcterms:created>
  <dcterms:modified xsi:type="dcterms:W3CDTF">2026-03-12T03:33:26.453Z</dcterms:modified>
</cp:coreProperties>
</file>

<file path=docProps/custom.xml><?xml version="1.0" encoding="utf-8"?>
<Properties xmlns="http://schemas.openxmlformats.org/officeDocument/2006/custom-properties" xmlns:vt="http://schemas.openxmlformats.org/officeDocument/2006/docPropsVTypes"/>
</file>