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290A" w:sz="16"/>
              <w:right w:val="none" w:color="FFFFFF" w:sz="0"/>
            </w:tcBorders>
            <w:shd w:fill="0F0D0A" w:val="clear"/>
            <w:tcMar>
              <w:top w:type="dxa" w:w="440"/>
              <w:left w:type="dxa" w:w="440"/>
              <w:bottom w:type="dxa" w:w="440"/>
              <w:right w:type="dxa" w:w="440"/>
            </w:tcMar>
          </w:tcPr>
          <w:p>
            <w:pPr>
              <w:spacing w:after="120"/>
              <w:jc w:val="left"/>
            </w:pPr>
            <w:r>
              <w:rPr>
                <w:rFonts w:ascii="Arial" w:cs="Arial" w:eastAsia="Arial" w:hAnsi="Arial"/>
                <w:i/>
                <w:iCs/>
                <w:color w:val="AAAAAA"/>
                <w:sz w:val="20"/>
                <w:szCs w:val="20"/>
              </w:rPr>
              <w:t xml:space="preserve">Data Consulting Division</w:t>
            </w:r>
          </w:p>
          <w:p>
            <w:pPr>
              <w:spacing w:after="200"/>
              <w:jc w:val="left"/>
            </w:pPr>
            <w:r>
              <w:rPr>
                <w:rFonts w:ascii="Arial" w:cs="Arial" w:eastAsia="Arial" w:hAnsi="Arial"/>
                <w:b/>
                <w:bCs/>
                <w:color w:val="FFFFFF"/>
                <w:sz w:val="48"/>
                <w:szCs w:val="48"/>
              </w:rPr>
              <w:t xml:space="preserve">SQL Query Extractor</w:t>
            </w:r>
          </w:p>
          <w:p>
            <w:pPr>
              <w:spacing w:after="400"/>
              <w:jc w:val="left"/>
            </w:pPr>
            <w:r>
              <w:rPr>
                <w:rFonts w:ascii="Arial" w:cs="Arial" w:eastAsia="Arial" w:hAnsi="Arial"/>
                <w:i/>
                <w:iCs/>
                <w:color w:val="CCCCCC"/>
                <w:sz w:val="24"/>
                <w:szCs w:val="24"/>
              </w:rPr>
              <w:t xml:space="preserve">Feature Documentation &amp; User Guide</w:t>
            </w:r>
          </w:p>
          <w:p>
            <w:pPr>
              <w:spacing w:after="60"/>
              <w:jc w:val="left"/>
            </w:pPr>
            <w:r>
              <w:rPr>
                <w:rFonts w:ascii="Arial" w:cs="Arial" w:eastAsia="Arial" w:hAnsi="Arial"/>
                <w:color w:val="AAAAAA"/>
                <w:sz w:val="20"/>
                <w:szCs w:val="20"/>
              </w:rPr>
              <w:t xml:space="preserve">Version 1.0</w:t>
            </w:r>
          </w:p>
          <w:p>
            <w:pPr>
              <w:spacing w:after="0"/>
              <w:jc w:val="left"/>
            </w:pPr>
            <w:r>
              <w:rPr>
                <w:rFonts w:ascii="Arial" w:cs="Arial" w:eastAsia="Arial" w:hAnsi="Arial"/>
                <w:color w:val="AAAAAA"/>
                <w:sz w:val="20"/>
                <w:szCs w:val="20"/>
              </w:rPr>
              <w:t xml:space="preserve">March 11, 2026</w:t>
            </w:r>
          </w:p>
        </w:tc>
      </w:tr>
    </w:tbl>
    <w:p>
      <w:pPr>
        <w:spacing w:after="0"/>
      </w:pPr>
      <w:r>
        <w:br w:type="page"/>
      </w:r>
    </w:p>
    <w:p>
      <w:pPr>
        <w:pStyle w:val="Heading1"/>
        <w:pBdr>
          <w:bottom w:val="single" w:color="C8290A" w:sz="8" w:space="4"/>
        </w:pBdr>
        <w:spacing w:before="360" w:after="160"/>
      </w:pPr>
      <w:r>
        <w:rPr>
          <w:rFonts w:ascii="Arial" w:cs="Arial" w:eastAsia="Arial" w:hAnsi="Arial"/>
          <w:b/>
          <w:bCs/>
          <w:color w:val="0F0D0A"/>
          <w:sz w:val="32"/>
          <w:szCs w:val="32"/>
        </w:rPr>
        <w:t xml:space="preserve">1. Overview</w:t>
      </w:r>
    </w:p>
    <w:p>
      <w:pPr>
        <w:spacing w:after="120"/>
      </w:pPr>
      <w:r>
        <w:rPr>
          <w:rFonts w:ascii="Arial" w:cs="Arial" w:eastAsia="Arial" w:hAnsi="Arial"/>
          <w:sz w:val="20"/>
          <w:szCs w:val="20"/>
        </w:rPr>
        <w:t xml:space="preserve">The SQL Query Extractor is an Excel workbook that eliminates manual query editing when moving between retirement plan cases. Enter a case number once through a UserForm — the workbook validates the format, builds every query variant automatically, injects the correct formatted values into all Power Query connections, and refreshes all extraction tables in a single operation. Data lands pre-formatted in Excel with no copy/paste from AQT required.</w:t>
      </w:r>
    </w:p>
    <w:p>
      <w:pPr>
        <w:spacing w:after="120"/>
      </w:pPr>
      <w:r>
        <w:rPr>
          <w:rFonts w:ascii="Arial" w:cs="Arial" w:eastAsia="Arial" w:hAnsi="Arial"/>
          <w:sz w:val="20"/>
          <w:szCs w:val="20"/>
        </w:rPr>
        <w:t xml:space="preserve">The workbook is built as Project 02 in the VBA + Power Query series for the Data Consulting Division and integrates directly with AQT (Advanced Query Tool) via Power Query connections.</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1.1 The Problem It Solves</w:t>
      </w:r>
    </w:p>
    <w:p>
      <w:pPr>
        <w:spacing w:after="120"/>
      </w:pPr>
      <w:r>
        <w:rPr>
          <w:rFonts w:ascii="Arial" w:cs="Arial" w:eastAsia="Arial" w:hAnsi="Arial"/>
          <w:sz w:val="20"/>
          <w:szCs w:val="20"/>
        </w:rPr>
        <w:t xml:space="preserve">Before this workbook, switching to a new plan required opening AQT, locating each query, manually replacing the case number in the correct format, verifying there were no trailing spaces, and re-running. With multiple query tabs, this was repeated for every table. The workbook eliminates every step in that process.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Manual Process</w:t>
            </w:r>
          </w:p>
        </w:tc>
        <w:tc>
          <w:tcPr>
            <w:tcW w:type="dxa" w:w="504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With SQL Query Extractor</w:t>
            </w:r>
          </w:p>
        </w:tc>
      </w:tr>
      <w:tr>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Open AQT and find each query individually</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Click "Enter Case Number" on any sheet — one entry point for all queries</w:t>
            </w:r>
          </w:p>
        </w:tc>
      </w:tr>
      <w:tr>
        <w:tc>
          <w:tcPr>
            <w:tcW w:type="dxa" w:w="43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Manually type case number in the correct format per query</w:t>
            </w:r>
          </w:p>
        </w:tc>
        <w:tc>
          <w:tcPr>
            <w:tcW w:type="dxa" w:w="50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Format detected and applied automatically from the prefix type</w:t>
            </w:r>
          </w:p>
        </w:tc>
      </w:tr>
      <w:tr>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Risk of trailing spaces or wrong spacing causing silent query failures</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Validation enforces correct spacing before any injection occurs</w:t>
            </w:r>
          </w:p>
        </w:tc>
      </w:tr>
      <w:tr>
        <w:tc>
          <w:tcPr>
            <w:tcW w:type="dxa" w:w="43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Re-run each query separately and copy results into Excel</w:t>
            </w:r>
          </w:p>
        </w:tc>
        <w:tc>
          <w:tcPr>
            <w:tcW w:type="dxa" w:w="50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One refresh fires all tables simultaneously — data arrives pre-formatted</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1.2 Query Tables Covered</w:t>
      </w:r>
    </w:p>
    <w:p>
      <w:pPr>
        <w:spacing w:after="120"/>
      </w:pPr>
      <w:r>
        <w:rPr>
          <w:rFonts w:ascii="Arial" w:cs="Arial" w:eastAsia="Arial" w:hAnsi="Arial"/>
          <w:sz w:val="20"/>
          <w:szCs w:val="20"/>
        </w:rPr>
        <w:t xml:space="preserve">Each extraction target has its own dedicated tab. Additional tabs can be added by creating a new Power Query connection and mapping it to a format variant — no changes to the validation or refresh logic are needed.</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Tab</w:t>
            </w:r>
          </w:p>
        </w:tc>
        <w:tc>
          <w:tcPr>
            <w:tcW w:type="dxa" w:w="63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Contents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Employee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Employee records for the plan</w:t>
            </w:r>
          </w:p>
        </w:tc>
      </w:tr>
      <w:tr>
        <w:tc>
          <w:tcPr>
            <w:tcW w:type="dxa" w:w="3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Deferral Elections</w:t>
            </w:r>
          </w:p>
        </w:tc>
        <w:tc>
          <w:tcPr>
            <w:tcW w:type="dxa" w:w="63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Active deferral election data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Deferrals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Deferral transaction detail</w:t>
            </w:r>
          </w:p>
        </w:tc>
      </w:tr>
      <w:tr>
        <w:tc>
          <w:tcPr>
            <w:tcW w:type="dxa" w:w="3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[Additional tabs]</w:t>
            </w:r>
          </w:p>
        </w:tc>
        <w:tc>
          <w:tcPr>
            <w:tcW w:type="dxa" w:w="63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Add as needed — one Power Query connection per tab</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2. Case Number Entry</w:t>
      </w:r>
    </w:p>
    <w:p>
      <w:pPr>
        <w:spacing w:after="120"/>
      </w:pPr>
      <w:r>
        <w:rPr>
          <w:rFonts w:ascii="Arial" w:cs="Arial" w:eastAsia="Arial" w:hAnsi="Arial"/>
          <w:sz w:val="20"/>
          <w:szCs w:val="20"/>
        </w:rPr>
        <w:t xml:space="preserve">An "Enter Case Number" button is present on every sheet in the workbook. Clicking it from any tab opens the case number UserForm. The form pre-populates with the currently stored case number so the user always knows what is loaded. After a successful entry, the updated case number is displayed on every sheet via a named range.</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2.1 UserForm (frmCaseEntry)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Control</w:t>
            </w:r>
          </w:p>
        </w:tc>
        <w:tc>
          <w:tcPr>
            <w:tcW w:type="dxa" w:w="63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Case number input (txtCaseNum)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Text field for raw case number entry. No pre-formatting required — user types the case number as-is</w:t>
            </w:r>
          </w:p>
        </w:tc>
      </w:tr>
      <w:tr>
        <w:tc>
          <w:tcPr>
            <w:tcW w:type="dxa" w:w="3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Current value display (lblCurrent)</w:t>
            </w:r>
          </w:p>
        </w:tc>
        <w:tc>
          <w:tcPr>
            <w:tcW w:type="dxa" w:w="63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Shows the case number currently loaded in the workbook so the user can confirm or update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Submit (btnSubmit)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Trims the input, validates it is not blank, and hands off to mod_CaseValidator.ProcessCaseNumber() for format validation and injection</w:t>
            </w:r>
          </w:p>
        </w:tc>
      </w:tr>
      <w:tr>
        <w:tc>
          <w:tcPr>
            <w:tcW w:type="dxa" w:w="3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Cancel (btnCancel)</w:t>
            </w:r>
          </w:p>
        </w:tc>
        <w:tc>
          <w:tcPr>
            <w:tcW w:type="dxa" w:w="63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Closes the form without making any changes to the workbook state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The "Enter Case Number" button is present on every tab and is wired to mod_QueryBuilder.LaunchCaseEntry(). A new case number entry triggers a full refresh of all tables — there is no per-tab refresh.</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3. Case Number Format &amp; Validation</w:t>
      </w:r>
    </w:p>
    <w:p>
      <w:pPr>
        <w:spacing w:after="120"/>
      </w:pPr>
      <w:r>
        <w:rPr>
          <w:rFonts w:ascii="Arial" w:cs="Arial" w:eastAsia="Arial" w:hAnsi="Arial"/>
          <w:sz w:val="20"/>
          <w:szCs w:val="20"/>
        </w:rPr>
        <w:t xml:space="preserve">The workbook supports two case number format types, determined by the leading letter of the case number. The validator enforces the correct spacing rules for each type before any query injection takes place.</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3.1 Format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3600"/>
        <w:gridCol w:w="1800"/>
      </w:tblGrid>
      <w:tr>
        <w:trPr>
          <w:tblHeader/>
        </w:trPr>
        <w:tc>
          <w:tcPr>
            <w:tcW w:type="dxa" w:w="1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Prefix Type</w:t>
            </w:r>
          </w:p>
        </w:tc>
        <w:tc>
          <w:tcPr>
            <w:tcW w:type="dxa" w:w="21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Leading Letter(s)</w:t>
            </w:r>
          </w:p>
        </w:tc>
        <w:tc>
          <w:tcPr>
            <w:tcW w:type="dxa" w:w="36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Format Rule</w:t>
            </w:r>
          </w:p>
        </w:tc>
        <w:tc>
          <w:tcPr>
            <w:tcW w:type="dxa" w:w="1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Example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Q / 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Q or 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2 letters + 5 digits + 3 spaces + 5 digits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QK12345   67890</w:t>
            </w:r>
          </w:p>
        </w:tc>
      </w:tr>
      <w:tr>
        <w:tc>
          <w:tcPr>
            <w:tcW w:type="dxa" w:w="1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 / J</w:t>
            </w:r>
          </w:p>
        </w:tc>
        <w:tc>
          <w:tcPr>
            <w:tcW w:type="dxa" w:w="21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 or J</w:t>
            </w:r>
          </w:p>
        </w:tc>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 letters + 6 digits + 2 spaces + 5 digits</w:t>
            </w:r>
          </w:p>
        </w:tc>
        <w:tc>
          <w:tcPr>
            <w:tcW w:type="dxa" w:w="1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TA123456  67890</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290A" w:sz="4"/>
              <w:left w:val="single" w:color="C8290A" w:sz="16"/>
              <w:bottom w:val="single" w:color="C8290A" w:sz="4"/>
              <w:right w:val="single" w:color="C8290A" w:sz="4"/>
            </w:tcBorders>
            <w:shd w:fill="FDE8E8" w:val="clear"/>
            <w:tcMar>
              <w:top w:type="dxa" w:w="100"/>
              <w:left w:type="dxa" w:w="160"/>
              <w:bottom w:type="dxa" w:w="100"/>
              <w:right w:type="dxa" w:w="160"/>
            </w:tcMar>
          </w:tcPr>
          <w:p>
            <w:pPr>
              <w:spacing w:after="0"/>
            </w:pPr>
            <w:r>
              <w:rPr>
                <w:rFonts w:ascii="Arial" w:cs="Arial" w:eastAsia="Arial" w:hAnsi="Arial"/>
                <w:b/>
                <w:bCs/>
                <w:color w:val="C8290A"/>
                <w:sz w:val="20"/>
                <w:szCs w:val="20"/>
              </w:rPr>
              <w:t xml:space="preserve">Important: </w:t>
            </w:r>
            <w:r>
              <w:rPr>
                <w:rFonts w:ascii="Arial" w:cs="Arial" w:eastAsia="Arial" w:hAnsi="Arial"/>
                <w:color w:val="7A1008"/>
                <w:sz w:val="20"/>
                <w:szCs w:val="20"/>
              </w:rPr>
              <w:t xml:space="preserve">Wrong spacing produces a broken query with no visible error — AQT returns empty results or the wrong plan data. The validator enforces the spacing rules for each prefix type before any injection occurs. If the format is invalid, a MsgBox shows the expected pattern and the form stays open for correction.</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3.2 Validation Logic (mod_CaseValidator)</w:t>
      </w:r>
    </w:p>
    <w:p>
      <w:pPr>
        <w:spacing w:after="120"/>
      </w:pPr>
      <w:r>
        <w:rPr>
          <w:rFonts w:ascii="Arial" w:cs="Arial" w:eastAsia="Arial" w:hAnsi="Arial"/>
          <w:sz w:val="20"/>
          <w:szCs w:val="20"/>
        </w:rPr>
        <w:t xml:space="preserve">On form submit, ProcessCaseNumber() runs the following sequence: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Step</w:t>
            </w:r>
          </w:p>
        </w:tc>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Function</w:t>
            </w:r>
          </w:p>
        </w:tc>
        <w:tc>
          <w:tcPr>
            <w:tcW w:type="dxa" w:w="63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DetectPrefixType()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Reads the first character of the input and classifies it as QN, TJ, or UNKNOWN</w:t>
            </w:r>
          </w:p>
        </w:tc>
      </w:tr>
      <w:tr>
        <w:tc>
          <w:tcPr>
            <w:tcW w:type="dxa" w:w="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w:t>
            </w:r>
          </w:p>
        </w:tc>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ValidateFormat()</w:t>
            </w:r>
          </w:p>
        </w:tc>
        <w:tc>
          <w:tcPr>
            <w:tcW w:type="dxa" w:w="63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Applies the format rule for the detected prefix type — checks total length and spacing position. Invalid input → MsgBox + form stays open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BuildFormatVariants()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Generates the collection of query-specific format strings from the validated case number (see Section 4)</w:t>
            </w:r>
          </w:p>
        </w:tc>
      </w:tr>
      <w:tr>
        <w:tc>
          <w:tcPr>
            <w:tcW w:type="dxa" w:w="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4</w:t>
            </w:r>
          </w:p>
        </w:tc>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InjectAndRefresh()</w:t>
            </w:r>
          </w:p>
        </w:tc>
        <w:tc>
          <w:tcPr>
            <w:tcW w:type="dxa" w:w="63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Passes the variant collection to mod_QueryBuilder for connection injection and refresh</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3.3 Format Variants</w:t>
      </w:r>
    </w:p>
    <w:p>
      <w:pPr>
        <w:spacing w:after="120"/>
      </w:pPr>
      <w:r>
        <w:rPr>
          <w:rFonts w:ascii="Arial" w:cs="Arial" w:eastAsia="Arial" w:hAnsi="Arial"/>
          <w:sz w:val="20"/>
          <w:szCs w:val="20"/>
        </w:rPr>
        <w:t xml:space="preserve">Different Power Query connections may require the case number in different forms — the full formatted string, a partial slice, a LIKE-compatible wildcard pattern, or an underscore variant. BuildFormatVariants() assembles all required forms into a named Collection that mod_QueryBuilder references during injection.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The format normalization layer is fully decoupled from the query injection layer. Adding a new query tab only requires adding one new connection and one new variant key — the validation logic and refresh sequence are unchanged.</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4. Execution Flow</w:t>
      </w:r>
    </w:p>
    <w:p>
      <w:pPr>
        <w:spacing w:after="120"/>
      </w:pPr>
      <w:r>
        <w:rPr>
          <w:rFonts w:ascii="Arial" w:cs="Arial" w:eastAsia="Arial" w:hAnsi="Arial"/>
          <w:sz w:val="20"/>
          <w:szCs w:val="20"/>
        </w:rPr>
        <w:t xml:space="preserve">From case number entry to fully refreshed, extraction-ready tables in four stages.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Case Number Entry — UserForm (frmCaseEntry)</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User clicks "Enter Case Number" on any sheet. frmCaseEntry opens pre-populated with the current stored value. User types the raw case number and clicks Submit. The form trims the input and hands it to mod_CaseValidator — no formatting is required from the user.</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II</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Validation + Format Normalization — mod_CaseValidator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DetectPrefixType() reads the leading character and classifies the plan format. ValidateFormat() checks the digit counts and spacing position for the detected type. If the format is invalid, a descriptive MsgBox is shown and the form remains open. On success, BuildFormatVariants() constructs the full collection of query-specific format strings and passes them to the injection layer.</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B3F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III</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Query Injection + Refresh — mod_QueryBuilder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InjectAndRefresh() loops through all workbook connections. Each connection is matched by name and receives the appropriate format variant from the collection. After all connections are updated, ActiveWorkbook.RefreshAll re-executes every Power Query table simultaneously. Data arrives in Excel pre-formatted — column names, types, and layout are all controlled in the Power Query M code with no post-load cleanup needed.</w:t>
      </w:r>
    </w:p>
    <w:p>
      <w:pPr>
        <w:spacing w:after="120"/>
      </w:pPr>
      <w:r>
        <w:rPr>
          <w:rFonts w:ascii="Arial" w:cs="Arial" w:eastAsia="Arial" w:hAnsi="Arial"/>
          <w:sz w:val="20"/>
          <w:szCs w:val="20"/>
        </w:rPr>
        <w:t xml:space="preserve">If any connection returns an error after refresh, the error is surfaced with connection details. On success, StoreCaseNumber() writes the new case number to the named display range on every sheet.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IV</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Output — All Sheets</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All query tabs are populated and formatted. The current case number is displayed on every sheet via the rng_CurrentCase named range. Navigate tab by tab to review each extraction table — Employee, Deferral Elections, Deferrals, and any additional configured tabs. Copy data and paste into output reports.</w:t>
      </w:r>
    </w:p>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5. Code Architecture</w:t>
      </w:r>
    </w:p>
    <w:p>
      <w:pPr>
        <w:spacing w:after="120"/>
      </w:pPr>
      <w:r>
        <w:rPr>
          <w:rFonts w:ascii="Arial" w:cs="Arial" w:eastAsia="Arial" w:hAnsi="Arial"/>
          <w:sz w:val="20"/>
          <w:szCs w:val="20"/>
        </w:rPr>
        <w:t xml:space="preserve">The workbook uses one UserForm and two VBA modules, plus one Power Query connection per extraction tab.</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5.1 UserForm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Form</w:t>
            </w:r>
          </w:p>
        </w:tc>
        <w:tc>
          <w:tcPr>
            <w:tcW w:type="dxa" w:w="65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Purpose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frmCaseEntry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Single text input with submit/cancel. Pre-populates with the current stored case number. Trims input on submit and passes raw value to mod_CaseValidator.ProcessCaseNumber()</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5.2 VBA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Module</w:t>
            </w:r>
          </w:p>
        </w:tc>
        <w:tc>
          <w:tcPr>
            <w:tcW w:type="dxa" w:w="65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Responsibility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mod_CaseValidator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DetectPrefixType() — classifies Q/N vs T/J from the leading character. ValidateFormat() — enforces digit counts and spacing rules per prefix type. BuildFormatVariants() — returns a Collection of all query-specific format strings keyed by name. ProcessCaseNumber() — orchestrates validation through to injection</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mod_QueryBuilder</w:t>
            </w:r>
          </w:p>
        </w:tc>
        <w:tc>
          <w:tcPr>
            <w:tcW w:type="dxa" w:w="65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InjectAndRefresh() — loops all workbook connections, injects the correct format variant per connection, fires RefreshAll. UpdateConnectionParam() — updates an individual connection with a new value. StoreCaseNumber() — writes the current case number to rng_CurrentCase on all sheets. LaunchCaseEntry() — entry point wired to all sheet buttons</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5.3 Power Query Connections</w:t>
      </w:r>
    </w:p>
    <w:p>
      <w:pPr>
        <w:spacing w:after="120"/>
      </w:pPr>
      <w:r>
        <w:rPr>
          <w:rFonts w:ascii="Arial" w:cs="Arial" w:eastAsia="Arial" w:hAnsi="Arial"/>
          <w:sz w:val="20"/>
          <w:szCs w:val="20"/>
        </w:rPr>
        <w:t xml:space="preserve">One connection per sheet/table. Each M query contains a placeholder case number value that the injection layer replaces at runtime. All column renaming, data typing, and formatting are handled within the Power Query M code — no post-load cleanup is performed by VBA.</w:t>
      </w:r>
    </w:p>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6. Setup Guide</w:t>
      </w:r>
    </w:p>
    <w:p>
      <w:pPr>
        <w:spacing w:after="120"/>
      </w:pPr>
      <w:r>
        <w:rPr>
          <w:rFonts w:ascii="Arial" w:cs="Arial" w:eastAsia="Arial" w:hAnsi="Arial"/>
          <w:sz w:val="20"/>
          <w:szCs w:val="20"/>
        </w:rPr>
        <w:t xml:space="preserve">The following steps configure the workbook from scratch. The VBA scaffolding is provided in the portal — the TODO items in the code are the configuration points specific to each deployment.</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6.1 Workbook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Step</w:t>
            </w:r>
          </w:p>
        </w:tc>
        <w:tc>
          <w:tcPr>
            <w:tcW w:type="dxa" w:w="88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Create one sheet per query type — Employee, Deferral Elections, Deferrals, and any additional targets. Name tabs clearly; connection names should match tab names for easy mapping</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Add Power Query connections via AQT — one connection per tab. Leave a placeholder case number value in each M query. The injection layer replaces it at runtime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3</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Add an "Enter Case Number" Form Control button to every tab. Wire each button to mod_QueryBuilder.LaunchCaseEntry()</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4</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Create VBE modules named mod_CaseValidator and mod_QueryBuilder. Insert a UserForm named frmCaseEntry with controls: txtCaseNum (TextBox), btnSubmit (CommandButton), btnCancel (CommandButton), lblCurrent (Label)</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5</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Create a named range rng_CurrentCase spanning or referenced on each sheet. StoreCaseNumber() writes to this range after every successful refresh</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6.2 Key Configuration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rPr>
          <w:tblHeader/>
        </w:trPr>
        <w:tc>
          <w:tcPr>
            <w:tcW w:type="dxa" w:w="2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Configuration Point</w:t>
            </w:r>
          </w:p>
        </w:tc>
        <w:tc>
          <w:tcPr>
            <w:tcW w:type="dxa" w:w="27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Location</w:t>
            </w:r>
          </w:p>
        </w:tc>
        <w:tc>
          <w:tcPr>
            <w:tcW w:type="dxa" w:w="3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Fill in ValidateFormat() logic</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mod_CaseValidator.ValidateFormat()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Uncomment and complete the length and spacing checks for QN and TJ types. QN: Len = 20, Mid(8,3) = 3 spaces. TJ: Len = 15, Mid(9,2) = 2 spaces</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Fill in BuildFormatVariants()</w:t>
            </w:r>
          </w:p>
        </w:tc>
        <w:tc>
          <w:tcPr>
            <w:tcW w:type="dxa" w:w="2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mod_CaseValidator.BuildFormatVariants()</w:t>
            </w:r>
          </w:p>
        </w:tc>
        <w:tc>
          <w:tcPr>
            <w:tcW w:type="dxa" w:w="3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Add each query-specific format as a keyed entry. Examples: Full string, first N characters, LIKE wildcard pattern, underscore variant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Map connections to variants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mod_QueryBuilder.InjectAndRefresh()</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Add a Select Case or If/ElseIf block mapping each connection name to its required variant key from the collection</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Implement UpdateConnectionParam()</w:t>
            </w:r>
          </w:p>
        </w:tc>
        <w:tc>
          <w:tcPr>
            <w:tcW w:type="dxa" w:w="2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mod_QueryBuilder.UpdateConnectionParam()</w:t>
            </w:r>
          </w:p>
        </w:tc>
        <w:tc>
          <w:tcPr>
            <w:tcW w:type="dxa" w:w="3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Update the connection M query formula string via OLEDBConnection.CommandText with the injected value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The TODO placeholders in the code mark every configuration point with example patterns. ValidateFormat() and BuildFormatVariants() contain commented-out example logic that can be uncommented and adjusted to match the actual case number structure.</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7. Usage Workflow</w:t>
      </w:r>
    </w:p>
    <w:p>
      <w:pPr>
        <w:spacing w:after="120"/>
      </w:pPr>
      <w:r>
        <w:rPr>
          <w:rFonts w:ascii="Arial" w:cs="Arial" w:eastAsia="Arial" w:hAnsi="Arial"/>
          <w:sz w:val="20"/>
          <w:szCs w:val="20"/>
        </w:rPr>
        <w:t xml:space="preserve">Standard end-to-end usage for a single plan extraction: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Step</w:t>
            </w:r>
          </w:p>
        </w:tc>
        <w:tc>
          <w:tcPr>
            <w:tcW w:type="dxa" w:w="88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Click "Enter Case Number" on any sheet. The form opens pre-populated with the last used case number</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Type the new case number as-is — no manual spacing or formatting required. Click Submit</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3</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The validator detects the prefix type, checks the format, and builds all query variants. If invalid, a descriptive error is shown and the form stays open</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4</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On success, all connections are updated and all tables refresh simultaneously</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5</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Navigate tab by tab — Employee, Deferral Elections, Deferrals, and additional tabs are all populated and formatted. The current case number is visible on every sheet</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6</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Copy from any tab and paste into output reports</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8. Technical Notes</w:t>
      </w:r>
    </w:p>
    <w:p>
      <w:pPr>
        <w:pStyle w:val="ListParagraph"/>
        <w:numPr>
          <w:ilvl w:val="0"/>
          <w:numId w:val="2"/>
        </w:numPr>
        <w:spacing w:after="80"/>
      </w:pPr>
      <w:r>
        <w:rPr>
          <w:rFonts w:ascii="Arial" w:cs="Arial" w:eastAsia="Arial" w:hAnsi="Arial"/>
          <w:color w:val="0F0D0A"/>
          <w:sz w:val="20"/>
          <w:szCs w:val="20"/>
        </w:rPr>
        <w:t xml:space="preserve">Built as a single Excel workbook (.xlsm) with VBA macros enabled. Requires an AQT connection configured and accessible from the workbook.</w:t>
      </w:r>
    </w:p>
    <w:p>
      <w:pPr>
        <w:pStyle w:val="ListParagraph"/>
        <w:numPr>
          <w:ilvl w:val="0"/>
          <w:numId w:val="2"/>
        </w:numPr>
        <w:spacing w:after="80"/>
      </w:pPr>
      <w:r>
        <w:rPr>
          <w:rFonts w:ascii="Arial" w:cs="Arial" w:eastAsia="Arial" w:hAnsi="Arial"/>
          <w:color w:val="0F0D0A"/>
          <w:sz w:val="20"/>
          <w:szCs w:val="20"/>
        </w:rPr>
        <w:t xml:space="preserve">ActiveWorkbook.RefreshAll fires all connections simultaneously. For large datasets, Application.CalculateUntilAsyncQueriesDone can be called after refresh to wait for all async queries to complete before StoreCaseNumber() runs.</w:t>
      </w:r>
    </w:p>
    <w:p>
      <w:pPr>
        <w:pStyle w:val="ListParagraph"/>
        <w:numPr>
          <w:ilvl w:val="0"/>
          <w:numId w:val="2"/>
        </w:numPr>
        <w:spacing w:after="80"/>
      </w:pPr>
      <w:r>
        <w:rPr>
          <w:rFonts w:ascii="Arial" w:cs="Arial" w:eastAsia="Arial" w:hAnsi="Arial"/>
          <w:color w:val="0F0D0A"/>
          <w:sz w:val="20"/>
          <w:szCs w:val="20"/>
        </w:rPr>
        <w:t xml:space="preserve">The format variant Collection is keyed by string names (e.g. "Full", "WithPercent"). Each connection in InjectAndRefresh() looks up its required key. Using a Collection rather than positional array means connection-to-variant mapping is readable and maintainable.</w:t>
      </w:r>
    </w:p>
    <w:p>
      <w:pPr>
        <w:pStyle w:val="ListParagraph"/>
        <w:numPr>
          <w:ilvl w:val="0"/>
          <w:numId w:val="2"/>
        </w:numPr>
        <w:spacing w:after="80"/>
      </w:pPr>
      <w:r>
        <w:rPr>
          <w:rFonts w:ascii="Arial" w:cs="Arial" w:eastAsia="Arial" w:hAnsi="Arial"/>
          <w:color w:val="0F0D0A"/>
          <w:sz w:val="20"/>
          <w:szCs w:val="20"/>
        </w:rPr>
        <w:t xml:space="preserve">All column naming, data types, and table layout are defined in the Power Query M code — not in VBA. This means the table structure is consistent across every refresh and requires no post-load manipulation.</w:t>
      </w:r>
    </w:p>
    <w:p>
      <w:pPr>
        <w:pStyle w:val="ListParagraph"/>
        <w:numPr>
          <w:ilvl w:val="0"/>
          <w:numId w:val="2"/>
        </w:numPr>
        <w:spacing w:after="80"/>
      </w:pPr>
      <w:r>
        <w:rPr>
          <w:rFonts w:ascii="Arial" w:cs="Arial" w:eastAsia="Arial" w:hAnsi="Arial"/>
          <w:color w:val="0F0D0A"/>
          <w:sz w:val="20"/>
          <w:szCs w:val="20"/>
        </w:rPr>
        <w:t xml:space="preserve">frmCaseEntry.UserForm_Initialize() should read from the named range or a module-level variable to pre-populate the current case number. Without this, the form opens blank on every launch.</w:t>
      </w:r>
    </w:p>
    <w:p>
      <w:pPr>
        <w:pStyle w:val="ListParagraph"/>
        <w:numPr>
          <w:ilvl w:val="0"/>
          <w:numId w:val="2"/>
        </w:numPr>
        <w:spacing w:after="80"/>
      </w:pPr>
      <w:r>
        <w:rPr>
          <w:rFonts w:ascii="Arial" w:cs="Arial" w:eastAsia="Arial" w:hAnsi="Arial"/>
          <w:color w:val="0F0D0A"/>
          <w:sz w:val="20"/>
          <w:szCs w:val="20"/>
        </w:rPr>
        <w:t xml:space="preserve">Wrong spacing in the case number produces empty or incorrect results from AQT with no explicit error. The validator is the only safeguard — ValidateFormat() must have its logic completed before the workbook is used in production.</w:t>
      </w:r>
    </w:p>
    <w:p>
      <w:pPr>
        <w:pStyle w:val="ListParagraph"/>
        <w:numPr>
          <w:ilvl w:val="0"/>
          <w:numId w:val="2"/>
        </w:numPr>
        <w:spacing w:after="80"/>
      </w:pPr>
      <w:r>
        <w:rPr>
          <w:rFonts w:ascii="Arial" w:cs="Arial" w:eastAsia="Arial" w:hAnsi="Arial"/>
          <w:color w:val="0F0D0A"/>
          <w:sz w:val="20"/>
          <w:szCs w:val="20"/>
        </w:rPr>
        <w:t xml:space="preserve">The decoupled architecture means adding a new query tab requires only two changes: add the new Power Query connection and add one entry in InjectAndRefresh() mapping the connection name to its variant key. No changes to validation or the UserForm are needed.</w:t>
      </w:r>
    </w:p>
    <w:p>
      <w:pPr>
        <w:spacing w:after="80"/>
      </w:pPr>
      <w:r>
        <w:rPr>
          <w:rFonts w:ascii="Arial" w:cs="Arial" w:eastAsia="Arial" w:hAnsi="Arial"/>
          <w:sz w:val="20"/>
          <w:szCs w:val="2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pPr>
    <w:r>
      <w:rPr>
        <w:rFonts w:ascii="Arial" w:cs="Arial" w:eastAsia="Arial" w:hAnsi="Arial"/>
        <w:color w:val="7A7060"/>
        <w:sz w:val="16"/>
        <w:szCs w:val="16"/>
      </w:rPr>
      <w:t xml:space="preserve">Internal Use Only  —  Data Consulting Division</w:t>
    </w:r>
    <w:r>
      <w:rPr>
        <w:rFonts w:ascii="Arial" w:cs="Arial" w:eastAsia="Arial" w:hAnsi="Arial"/>
        <w:sz w:val="16"/>
        <w:szCs w:val="16"/>
      </w:rPr>
      <w:t xml:space="preserve">	</w:t>
    </w:r>
    <w:r>
      <w:rPr>
        <w:rFonts w:ascii="Arial" w:cs="Arial" w:eastAsia="Arial" w:hAnsi="Arial"/>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color w:val="7A7060"/>
        <w:sz w:val="16"/>
        <w:szCs w:val="16"/>
      </w:rPr>
      <w:t xml:space="preserve">SQL Query Extractor  —  User Guide</w:t>
    </w:r>
    <w:r>
      <w:rPr>
        <w:rFonts w:ascii="Arial" w:cs="Arial" w:eastAsia="Arial" w:hAnsi="Arial"/>
        <w:sz w:val="16"/>
        <w:szCs w:val="16"/>
      </w:rPr>
      <w:t xml:space="preserve">	</w:t>
    </w:r>
    <w:r>
      <w:rPr>
        <w:rFonts w:ascii="Arial" w:cs="Arial" w:eastAsia="Arial" w:hAnsi="Arial"/>
        <w:i/>
        <w:iCs/>
        <w:color w:val="7A7060"/>
        <w:sz w:val="16"/>
        <w:szCs w:val="16"/>
      </w:rPr>
      <w:t xml:space="preserve">Data Consulting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0D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0D0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0D0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7A7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2026-03-12T03:59:49.301Z</dcterms:created>
  <dcterms:modified xsi:type="dcterms:W3CDTF">2026-03-12T03:59:49.302Z</dcterms:modified>
</cp:coreProperties>
</file>

<file path=docProps/custom.xml><?xml version="1.0" encoding="utf-8"?>
<Properties xmlns="http://schemas.openxmlformats.org/officeDocument/2006/custom-properties" xmlns:vt="http://schemas.openxmlformats.org/officeDocument/2006/docPropsVTypes"/>
</file>