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100" w:before="600"/>
        <w:jc w:val="center"/>
      </w:pPr>
      <w:r>
        <w:rPr>
          <w:rFonts w:ascii="Arial" w:cs="Arial" w:eastAsia="Arial" w:hAnsi="Arial"/>
          <w:b/>
          <w:bCs/>
          <w:color w:val="FFFFFF"/>
          <w:sz w:val="56"/>
          <w:szCs w:val="56"/>
        </w:rPr>
        <w:t xml:space="preserve">BRSM Study</w:t>
      </w:r>
    </w:p>
    <w:p>
      <w:pPr>
        <w:shd w:fill="1B3A6B" w:val="clear"/>
        <w:spacing w:after="80" w:before="0"/>
        <w:jc w:val="center"/>
      </w:pPr>
      <w:r>
        <w:rPr>
          <w:rFonts w:ascii="Arial" w:cs="Arial" w:eastAsia="Arial" w:hAnsi="Arial"/>
          <w:color w:val="D9E8F8"/>
          <w:sz w:val="36"/>
          <w:szCs w:val="36"/>
        </w:rPr>
        <w:t xml:space="preserve">Statistical Analysis Report</w:t>
      </w:r>
    </w:p>
    <w:p>
      <w:pPr>
        <w:shd w:fill="1B3A6B" w:val="clear"/>
        <w:spacing w:after="600" w:before="60"/>
        <w:jc w:val="center"/>
      </w:pPr>
      <w:r>
        <w:rPr>
          <w:rFonts w:ascii="Arial" w:cs="Arial" w:eastAsia="Arial" w:hAnsi="Arial"/>
          <w:i/>
          <w:iCs/>
          <w:color w:val="C55A11"/>
          <w:sz w:val="24"/>
          <w:szCs w:val="24"/>
        </w:rPr>
        <w:t xml:space="preserve">Reaction Time, Recognition Accuracy &amp; Cognitive Fatigue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8CCE4" w:sz="4"/>
              <w:left w:val="single" w:color="B8CCE4" w:sz="4"/>
              <w:bottom w:val="single" w:color="B8CCE4" w:sz="4"/>
              <w:right w:val="single" w:color="B8CCE4" w:sz="4"/>
            </w:tcBorders>
            <w:shd w:fill="EBF3FB" w:val="clear"/>
            <w:tcMar>
              <w:top w:type="dxa" w:w="100"/>
              <w:left w:type="dxa" w:w="160"/>
              <w:bottom w:type="dxa" w:w="100"/>
              <w:right w:type="dxa" w:w="160"/>
            </w:tcMar>
          </w:tcPr>
          <w:p>
            <w:pPr>
              <w:spacing w:after="80" w:before="80"/>
            </w:pPr>
            <w:r>
              <w:rPr>
                <w:rFonts w:ascii="Arial" w:cs="Arial" w:eastAsia="Arial" w:hAnsi="Arial"/>
                <w:b/>
                <w:bCs/>
                <w:color w:val="2E75B6"/>
                <w:sz w:val="22"/>
                <w:szCs w:val="22"/>
              </w:rPr>
              <w:t xml:space="preserve">Study Design:</w:t>
            </w:r>
            <w:r>
              <w:rPr>
                <w:rFonts w:ascii="Arial" w:cs="Arial" w:eastAsia="Arial" w:hAnsi="Arial"/>
                <w:color w:val="212121"/>
                <w:sz w:val="22"/>
                <w:szCs w:val="22"/>
              </w:rPr>
              <w:t xml:space="preserve">  Within-subjects recognition task</w:t>
            </w:r>
          </w:p>
        </w:tc>
        <w:tc>
          <w:tcPr>
            <w:tcW w:type="dxa" w:w="4680"/>
            <w:tcBorders>
              <w:top w:val="single" w:color="B8CCE4" w:sz="4"/>
              <w:left w:val="single" w:color="B8CCE4" w:sz="4"/>
              <w:bottom w:val="single" w:color="B8CCE4" w:sz="4"/>
              <w:right w:val="single" w:color="B8CCE4" w:sz="4"/>
            </w:tcBorders>
            <w:shd w:fill="EBF3FB" w:val="clear"/>
            <w:tcMar>
              <w:top w:type="dxa" w:w="100"/>
              <w:left w:type="dxa" w:w="160"/>
              <w:bottom w:type="dxa" w:w="100"/>
              <w:right w:type="dxa" w:w="160"/>
            </w:tcMar>
          </w:tcPr>
          <w:p>
            <w:pPr>
              <w:spacing w:after="80" w:before="80"/>
            </w:pPr>
            <w:r>
              <w:rPr>
                <w:rFonts w:ascii="Arial" w:cs="Arial" w:eastAsia="Arial" w:hAnsi="Arial"/>
                <w:b/>
                <w:bCs/>
                <w:color w:val="2E75B6"/>
                <w:sz w:val="22"/>
                <w:szCs w:val="22"/>
              </w:rPr>
              <w:t xml:space="preserve">Analysis Level:</w:t>
            </w:r>
            <w:r>
              <w:rPr>
                <w:rFonts w:ascii="Arial" w:cs="Arial" w:eastAsia="Arial" w:hAnsi="Arial"/>
                <w:color w:val="212121"/>
                <w:sz w:val="22"/>
                <w:szCs w:val="22"/>
              </w:rPr>
              <w:t xml:space="preserve">  Trial-level (H1) &amp; Block-level (H2)</w:t>
            </w:r>
          </w:p>
        </w:tc>
      </w:tr>
      <w:tr>
        <w:tc>
          <w:tcPr>
            <w:tcW w:type="dxa" w:w="4680"/>
            <w:tcBorders>
              <w:top w:val="single" w:color="B8CCE4" w:sz="4"/>
              <w:left w:val="single" w:color="B8CCE4" w:sz="4"/>
              <w:bottom w:val="single" w:color="B8CCE4" w:sz="4"/>
              <w:right w:val="single" w:color="B8CCE4" w:sz="4"/>
            </w:tcBorders>
            <w:shd w:fill="F2F7FC" w:val="clear"/>
            <w:tcMar>
              <w:top w:type="dxa" w:w="100"/>
              <w:left w:type="dxa" w:w="160"/>
              <w:bottom w:type="dxa" w:w="100"/>
              <w:right w:type="dxa" w:w="160"/>
            </w:tcMar>
          </w:tcPr>
          <w:p>
            <w:pPr>
              <w:spacing w:after="80" w:before="80"/>
            </w:pPr>
            <w:r>
              <w:rPr>
                <w:rFonts w:ascii="Arial" w:cs="Arial" w:eastAsia="Arial" w:hAnsi="Arial"/>
                <w:b/>
                <w:bCs/>
                <w:color w:val="2E75B6"/>
                <w:sz w:val="22"/>
                <w:szCs w:val="22"/>
              </w:rPr>
              <w:t xml:space="preserve">N:</w:t>
            </w:r>
            <w:r>
              <w:rPr>
                <w:rFonts w:ascii="Arial" w:cs="Arial" w:eastAsia="Arial" w:hAnsi="Arial"/>
                <w:color w:val="212121"/>
                <w:sz w:val="22"/>
                <w:szCs w:val="22"/>
              </w:rPr>
              <w:t xml:space="preserve">  114 participants</w:t>
            </w:r>
          </w:p>
        </w:tc>
        <w:tc>
          <w:tcPr>
            <w:tcW w:type="dxa" w:w="4680"/>
            <w:tcBorders>
              <w:top w:val="single" w:color="B8CCE4" w:sz="4"/>
              <w:left w:val="single" w:color="B8CCE4" w:sz="4"/>
              <w:bottom w:val="single" w:color="B8CCE4" w:sz="4"/>
              <w:right w:val="single" w:color="B8CCE4" w:sz="4"/>
            </w:tcBorders>
            <w:shd w:fill="F2F7FC" w:val="clear"/>
            <w:tcMar>
              <w:top w:type="dxa" w:w="100"/>
              <w:left w:type="dxa" w:w="160"/>
              <w:bottom w:type="dxa" w:w="100"/>
              <w:right w:type="dxa" w:w="160"/>
            </w:tcMar>
          </w:tcPr>
          <w:p>
            <w:pPr>
              <w:spacing w:after="80" w:before="80"/>
            </w:pPr>
            <w:r>
              <w:rPr>
                <w:rFonts w:ascii="Arial" w:cs="Arial" w:eastAsia="Arial" w:hAnsi="Arial"/>
                <w:b/>
                <w:bCs/>
                <w:color w:val="2E75B6"/>
                <w:sz w:val="22"/>
                <w:szCs w:val="22"/>
              </w:rPr>
              <w:t xml:space="preserve">Statistical Approach:</w:t>
            </w:r>
            <w:r>
              <w:rPr>
                <w:rFonts w:ascii="Arial" w:cs="Arial" w:eastAsia="Arial" w:hAnsi="Arial"/>
                <w:color w:val="212121"/>
                <w:sz w:val="22"/>
                <w:szCs w:val="22"/>
              </w:rPr>
              <w:t xml:space="preserve">  Non-parametric (post normality testing)</w:t>
            </w:r>
          </w:p>
        </w:tc>
      </w:tr>
    </w:tbl>
    <w:p>
      <w:pPr>
        <w:spacing w:after="0" w:before="400"/>
      </w:pPr>
      <w:r>
        <w:t xml:space="preserve"/>
      </w:r>
    </w:p>
    <w:p>
      <w:pPr>
        <w:pStyle w:val="Heading1"/>
        <w:pBdr>
          <w:bottom w:val="single" w:color="C55A11" w:sz="6"/>
        </w:pBdr>
        <w:shd w:fill="1B3A6B" w:val="clear"/>
        <w:spacing w:after="160" w:before="300"/>
      </w:pPr>
      <w:r>
        <w:rPr>
          <w:rFonts w:ascii="Arial" w:cs="Arial" w:eastAsia="Arial" w:hAnsi="Arial"/>
          <w:b/>
          <w:bCs/>
          <w:color w:val="FFFFFF"/>
          <w:sz w:val="36"/>
          <w:szCs w:val="36"/>
        </w:rPr>
        <w:t xml:space="preserve">1. Introduction &amp; Study Overview</w:t>
      </w:r>
    </w:p>
    <w:p>
      <w:pPr>
        <w:spacing w:after="0" w:before="80"/>
      </w:pPr>
      <w:r>
        <w:t xml:space="preserve"/>
      </w:r>
    </w:p>
    <w:p>
      <w:pPr>
        <w:spacing w:after="80" w:before="80"/>
      </w:pPr>
      <w:r>
        <w:rPr>
          <w:rFonts w:ascii="Arial" w:cs="Arial" w:eastAsia="Arial" w:hAnsi="Arial"/>
          <w:color w:val="212121"/>
          <w:sz w:val="22"/>
          <w:szCs w:val="22"/>
        </w:rPr>
        <w:t xml:space="preserve">This report presents a complete statistical analysis of a recognition memory experiment. The study examined the relationship between cognitive performance indicators — specifically Reaction Time (RT) and Recognition Accuracy — across two analytical frameworks, each addressing a distinct hypothesis.</w:t>
      </w:r>
    </w:p>
    <w:p>
      <w:pPr>
        <w:spacing w:after="0" w:before="60"/>
      </w:pPr>
      <w:r>
        <w:t xml:space="preserve"/>
      </w:r>
    </w:p>
    <w:p>
      <w:pPr>
        <w:spacing w:after="80" w:before="80"/>
      </w:pPr>
      <w:r>
        <w:rPr>
          <w:rFonts w:ascii="Arial" w:cs="Arial" w:eastAsia="Arial" w:hAnsi="Arial"/>
          <w:color w:val="212121"/>
          <w:sz w:val="22"/>
          <w:szCs w:val="22"/>
        </w:rPr>
        <w:t xml:space="preserve">Two formal hypotheses were tested:</w:t>
      </w:r>
    </w:p>
    <w:p>
      <w:pPr>
        <w:spacing w:after="0" w:before="60"/>
      </w:pPr>
      <w:r>
        <w:t xml:space="preserve"/>
      </w:r>
    </w:p>
    <w:tbl>
      <w:tblPr>
        <w:tblW w:type="dxa" w:w="9360"/>
        <w:tblBorders>
          <w:top w:val="single" w:color="2E75B6" w:sz="6"/>
          <w:left w:val="single" w:color="C55A11" w:sz="6"/>
          <w:bottom w:val="single" w:color="2E75B6" w:sz="6"/>
          <w:right w:val="single" w:color="2E75B6" w:sz="6"/>
          <w:insideH w:val="single" w:color="auto" w:sz="4"/>
          <w:insideV w:val="single" w:color="auto" w:sz="4"/>
        </w:tblBorders>
      </w:tblPr>
      <w:tblGrid>
        <w:gridCol w:w="9360"/>
      </w:tblGrid>
      <w:tr>
        <w:tc>
          <w:tcPr>
            <w:tcW w:type="dxa" w:w="9360"/>
            <w:tcBorders>
              <w:top w:val="single" w:color="C55A11" w:sz="8"/>
              <w:left w:val="single" w:color="C55A11" w:sz="16"/>
              <w:bottom w:val="single" w:color="B8CCE4" w:sz="4"/>
              <w:right w:val="nil" w:color="FFFFFF" w:sz="0"/>
            </w:tcBorders>
            <w:shd w:fill="EBF3FB"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H1 (Hypothesis 1 — Trial Level): Lower reaction times are associated with lower accuracy in recognition tasks.</w:t>
            </w:r>
          </w:p>
          <w:p>
            <w:pPr>
              <w:spacing w:after="40" w:before="40"/>
            </w:pPr>
            <w:r>
              <w:rPr>
                <w:rFonts w:ascii="Arial" w:cs="Arial" w:eastAsia="Arial" w:hAnsi="Arial"/>
                <w:color w:val="212121"/>
                <w:sz w:val="21"/>
                <w:szCs w:val="21"/>
              </w:rPr>
              <w:t xml:space="preserve"/>
            </w:r>
          </w:p>
          <w:p>
            <w:pPr>
              <w:spacing w:after="40" w:before="40"/>
            </w:pPr>
            <w:r>
              <w:rPr>
                <w:rFonts w:ascii="Arial" w:cs="Arial" w:eastAsia="Arial" w:hAnsi="Arial"/>
                <w:color w:val="212121"/>
                <w:sz w:val="21"/>
                <w:szCs w:val="21"/>
              </w:rPr>
              <w:t xml:space="preserve">H2 (Hypothesis 2 — Block Level): Recognition accuracy decreases and reaction time increases across blocks due to fatigue.</w:t>
            </w:r>
          </w:p>
        </w:tc>
      </w:tr>
    </w:tbl>
    <w:p>
      <w:pPr>
        <w:spacing w:after="0" w:before="120"/>
      </w:pPr>
      <w:r>
        <w:t xml:space="preserve"/>
      </w:r>
    </w:p>
    <w:p>
      <w:pPr>
        <w:pStyle w:val="Heading1"/>
        <w:pBdr>
          <w:bottom w:val="single" w:color="C55A11" w:sz="6"/>
        </w:pBdr>
        <w:shd w:fill="1B3A6B" w:val="clear"/>
        <w:spacing w:after="160" w:before="300"/>
      </w:pPr>
      <w:r>
        <w:rPr>
          <w:rFonts w:ascii="Arial" w:cs="Arial" w:eastAsia="Arial" w:hAnsi="Arial"/>
          <w:b/>
          <w:bCs/>
          <w:color w:val="FFFFFF"/>
          <w:sz w:val="36"/>
          <w:szCs w:val="36"/>
        </w:rPr>
        <w:t xml:space="preserve">2. Data Preprocessing</w:t>
      </w:r>
    </w:p>
    <w:p>
      <w:pPr>
        <w:spacing w:after="0" w:before="80"/>
      </w:pPr>
      <w:r>
        <w:t xml:space="preserve"/>
      </w:r>
    </w:p>
    <w:p>
      <w:pPr>
        <w:spacing w:after="80" w:before="80"/>
      </w:pPr>
      <w:r>
        <w:rPr>
          <w:rFonts w:ascii="Arial" w:cs="Arial" w:eastAsia="Arial" w:hAnsi="Arial"/>
          <w:color w:val="212121"/>
          <w:sz w:val="22"/>
          <w:szCs w:val="22"/>
        </w:rPr>
        <w:t xml:space="preserve">Raw data were extracted from anonymized participant log files (.log format). The preprocessing pipeline parsed each file to extract trial-level reaction time and accuracy data, filtering out Practice phase rows and using only Hits and False Alarms for analysis. Two structured CSV files were generated:</w:t>
      </w:r>
    </w:p>
    <w:p>
      <w:pPr>
        <w:spacing w:after="0" w:before="80"/>
      </w:pPr>
      <w:r>
        <w:t xml:space="preserve"/>
      </w:r>
    </w:p>
    <w:p>
      <w:pPr>
        <w:pStyle w:val="Heading3"/>
        <w:spacing w:after="80" w:before="180"/>
      </w:pPr>
      <w:r>
        <w:rPr>
          <w:rFonts w:ascii="Arial" w:cs="Arial" w:eastAsia="Arial" w:hAnsi="Arial"/>
          <w:b/>
          <w:bCs/>
          <w:color w:val="2E75B6"/>
          <w:sz w:val="24"/>
          <w:szCs w:val="24"/>
        </w:rPr>
        <w:t xml:space="preserve">Dataset 1: reactions_data.csv (for H1 — Trial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w:t>
            </w:r>
          </w:p>
        </w:tc>
        <w:tc>
          <w:tcPr>
            <w:tcW w:type="dxa" w:w="736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PID</w:t>
            </w:r>
          </w:p>
        </w:tc>
        <w:tc>
          <w:tcPr>
            <w:tcW w:type="dxa" w:w="73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Participant identifier</w:t>
            </w:r>
          </w:p>
        </w:tc>
      </w:tr>
      <w:tr>
        <w:tc>
          <w:tcPr>
            <w:tcW w:type="dxa" w:w="20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TID</w:t>
            </w:r>
          </w:p>
        </w:tc>
        <w:tc>
          <w:tcPr>
            <w:tcW w:type="dxa" w:w="736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Trial identifier (per participant)</w:t>
            </w:r>
          </w:p>
        </w:tc>
      </w:tr>
      <w:tr>
        <w:tc>
          <w:tcPr>
            <w:tcW w:type="dxa" w:w="20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IR Accuracy</w:t>
            </w:r>
          </w:p>
        </w:tc>
        <w:tc>
          <w:tcPr>
            <w:tcW w:type="dxa" w:w="73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Boolean — whether the response was correct (Hit) or incorrect (False Alarm)</w:t>
            </w:r>
          </w:p>
        </w:tc>
      </w:tr>
      <w:tr>
        <w:tc>
          <w:tcPr>
            <w:tcW w:type="dxa" w:w="20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IR Reaction Time</w:t>
            </w:r>
          </w:p>
        </w:tc>
        <w:tc>
          <w:tcPr>
            <w:tcW w:type="dxa" w:w="736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Reaction time in milliseconds for that trial</w:t>
            </w:r>
          </w:p>
        </w:tc>
      </w:tr>
    </w:tbl>
    <w:p>
      <w:pPr>
        <w:spacing w:after="0" w:before="120"/>
      </w:pPr>
      <w:r>
        <w:t xml:space="preserve"/>
      </w:r>
    </w:p>
    <w:p>
      <w:pPr>
        <w:pStyle w:val="Heading3"/>
        <w:spacing w:after="80" w:before="180"/>
      </w:pPr>
      <w:r>
        <w:rPr>
          <w:rFonts w:ascii="Arial" w:cs="Arial" w:eastAsia="Arial" w:hAnsi="Arial"/>
          <w:b/>
          <w:bCs/>
          <w:color w:val="2E75B6"/>
          <w:sz w:val="24"/>
          <w:szCs w:val="24"/>
        </w:rPr>
        <w:t xml:space="preserve">Dataset 2: block_accuracy_data.csv (for H2 — Block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w:t>
            </w:r>
          </w:p>
        </w:tc>
        <w:tc>
          <w:tcPr>
            <w:tcW w:type="dxa" w:w="736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pid</w:t>
            </w:r>
          </w:p>
        </w:tc>
        <w:tc>
          <w:tcPr>
            <w:tcW w:type="dxa" w:w="73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Participant identifier</w:t>
            </w:r>
          </w:p>
        </w:tc>
      </w:tr>
      <w:tr>
        <w:tc>
          <w:tcPr>
            <w:tcW w:type="dxa" w:w="20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blockNo</w:t>
            </w:r>
          </w:p>
        </w:tc>
        <w:tc>
          <w:tcPr>
            <w:tcW w:type="dxa" w:w="736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Block number (1, 2, or 3)</w:t>
            </w:r>
          </w:p>
        </w:tc>
      </w:tr>
      <w:tr>
        <w:tc>
          <w:tcPr>
            <w:tcW w:type="dxa" w:w="20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reaction accuracy</w:t>
            </w:r>
          </w:p>
        </w:tc>
        <w:tc>
          <w:tcPr>
            <w:tcW w:type="dxa" w:w="73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Hits / (Hits + False Alarms) per block</w:t>
            </w:r>
          </w:p>
        </w:tc>
      </w:tr>
      <w:tr>
        <w:tc>
          <w:tcPr>
            <w:tcW w:type="dxa" w:w="20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reaction time average</w:t>
            </w:r>
          </w:p>
        </w:tc>
        <w:tc>
          <w:tcPr>
            <w:tcW w:type="dxa" w:w="736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Mean RT across all trials in that block (ms)</w:t>
            </w:r>
          </w:p>
        </w:tc>
      </w:tr>
    </w:tbl>
    <w:p>
      <w:pPr>
        <w:spacing w:after="0" w:before="120"/>
      </w:pPr>
      <w:r>
        <w:t xml:space="preserve"/>
      </w:r>
    </w:p>
    <w:p>
      <w:pPr>
        <w:spacing w:after="80" w:before="80"/>
      </w:pPr>
      <w:r>
        <w:rPr>
          <w:rFonts w:ascii="Arial" w:cs="Arial" w:eastAsia="Arial" w:hAnsi="Arial"/>
          <w:color w:val="212121"/>
          <w:sz w:val="22"/>
          <w:szCs w:val="22"/>
        </w:rPr>
        <w:t xml:space="preserve">A key design decision was the handling of word recognition (WR) accuracy for computing block-level hits. Where WR accuracy was available (1 or 0), it was used directly; for trials without a memory probe (e.g. filler sentences), IR accuracy served as the fallback.</w:t>
      </w:r>
    </w:p>
    <w:p>
      <w:pPr>
        <w:spacing w:after="0" w:before="80"/>
      </w:pPr>
      <w:r>
        <w:t xml:space="preserve"/>
      </w:r>
    </w:p>
    <w:p>
      <w:pPr>
        <w:pStyle w:val="Heading1"/>
        <w:pBdr>
          <w:bottom w:val="single" w:color="C55A11" w:sz="6"/>
        </w:pBdr>
        <w:shd w:fill="1B3A6B" w:val="clear"/>
        <w:spacing w:after="160" w:before="300"/>
      </w:pPr>
      <w:r>
        <w:rPr>
          <w:rFonts w:ascii="Arial" w:cs="Arial" w:eastAsia="Arial" w:hAnsi="Arial"/>
          <w:b/>
          <w:bCs/>
          <w:color w:val="FFFFFF"/>
          <w:sz w:val="36"/>
          <w:szCs w:val="36"/>
        </w:rPr>
        <w:t xml:space="preserve">3. Descriptive Statistics</w:t>
      </w:r>
    </w:p>
    <w:p>
      <w:pPr>
        <w:spacing w:after="0" w:before="80"/>
      </w:pPr>
      <w:r>
        <w:t xml:space="preserve"/>
      </w:r>
    </w:p>
    <w:p>
      <w:pPr>
        <w:pStyle w:val="Heading2"/>
        <w:pBdr>
          <w:bottom w:val="single" w:color="2E75B6" w:sz="4"/>
        </w:pBdr>
        <w:spacing w:after="120" w:before="240"/>
      </w:pPr>
      <w:r>
        <w:rPr>
          <w:rFonts w:ascii="Arial" w:cs="Arial" w:eastAsia="Arial" w:hAnsi="Arial"/>
          <w:b/>
          <w:bCs/>
          <w:color w:val="1B3A6B"/>
          <w:sz w:val="28"/>
          <w:szCs w:val="28"/>
        </w:rPr>
        <w:t xml:space="preserve">3.1  Hypothesis 1 — Trial-Level Analysis</w:t>
      </w:r>
    </w:p>
    <w:p>
      <w:pPr>
        <w:spacing w:after="0" w:before="60"/>
      </w:pPr>
      <w:r>
        <w:t xml:space="preserve"/>
      </w:r>
    </w:p>
    <w:p>
      <w:pPr>
        <w:pStyle w:val="Heading3"/>
        <w:spacing w:after="80" w:before="180"/>
      </w:pPr>
      <w:r>
        <w:rPr>
          <w:rFonts w:ascii="Arial" w:cs="Arial" w:eastAsia="Arial" w:hAnsi="Arial"/>
          <w:b/>
          <w:bCs/>
          <w:color w:val="2E75B6"/>
          <w:sz w:val="24"/>
          <w:szCs w:val="24"/>
        </w:rPr>
        <w:t xml:space="preserve">3.1.1  Overall Summary</w:t>
      </w:r>
    </w:p>
    <w:p>
      <w:pPr>
        <w:spacing w:after="80" w:before="80"/>
      </w:pPr>
      <w:r>
        <w:rPr>
          <w:rFonts w:ascii="Arial" w:cs="Arial" w:eastAsia="Arial" w:hAnsi="Arial"/>
          <w:color w:val="212121"/>
          <w:sz w:val="22"/>
          <w:szCs w:val="22"/>
        </w:rPr>
        <w:t xml:space="preserve">The following overall statistics were computed across all trials and all participants: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616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r>
      <w:tr>
        <w:tc>
          <w:tcPr>
            <w:tcW w:type="dxa" w:w="32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Mean Reaction Time</w:t>
            </w:r>
          </w:p>
        </w:tc>
        <w:tc>
          <w:tcPr>
            <w:tcW w:type="dxa" w:w="61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Reported per run (right-skewed distribution — see normality section)</w:t>
            </w:r>
          </w:p>
        </w:tc>
      </w:tr>
      <w:tr>
        <w:tc>
          <w:tcPr>
            <w:tcW w:type="dxa" w:w="32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Median Reaction Time</w:t>
            </w:r>
          </w:p>
        </w:tc>
        <w:tc>
          <w:tcPr>
            <w:tcW w:type="dxa" w:w="616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Lower than mean, confirming right-skew</w:t>
            </w:r>
          </w:p>
        </w:tc>
      </w:tr>
      <w:tr>
        <w:tc>
          <w:tcPr>
            <w:tcW w:type="dxa" w:w="32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Standard Deviation (RT)</w:t>
            </w:r>
          </w:p>
        </w:tc>
        <w:tc>
          <w:tcPr>
            <w:tcW w:type="dxa" w:w="61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High, reflecting variability across participants</w:t>
            </w:r>
          </w:p>
        </w:tc>
      </w:tr>
      <w:tr>
        <w:tc>
          <w:tcPr>
            <w:tcW w:type="dxa" w:w="32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Overall Accuracy</w:t>
            </w:r>
          </w:p>
        </w:tc>
        <w:tc>
          <w:tcPr>
            <w:tcW w:type="dxa" w:w="616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Reported per run (% correct trials out of total IR responses)</w:t>
            </w:r>
          </w:p>
        </w:tc>
      </w:tr>
    </w:tbl>
    <w:p>
      <w:pPr>
        <w:spacing w:after="0" w:before="80"/>
      </w:pPr>
      <w:r>
        <w:t xml:space="preserve"/>
      </w:r>
    </w:p>
    <w:p>
      <w:pPr>
        <w:spacing w:after="80" w:before="80"/>
      </w:pPr>
      <w:r>
        <w:rPr>
          <w:rFonts w:ascii="Arial" w:cs="Arial" w:eastAsia="Arial" w:hAnsi="Arial"/>
          <w:color w:val="212121"/>
          <w:sz w:val="22"/>
          <w:szCs w:val="22"/>
        </w:rPr>
        <w:t xml:space="preserve">Per-participant summaries were also computed (mean RT, median RT, and accuracy per participant) to capture inter-individual variability.</w:t>
      </w:r>
    </w:p>
    <w:p>
      <w:pPr>
        <w:spacing w:after="0" w:before="80"/>
      </w:pPr>
      <w:r>
        <w:t xml:space="preserve"/>
      </w:r>
    </w:p>
    <w:p>
      <w:pPr>
        <w:pStyle w:val="Heading3"/>
        <w:spacing w:after="80" w:before="180"/>
      </w:pPr>
      <w:r>
        <w:rPr>
          <w:rFonts w:ascii="Arial" w:cs="Arial" w:eastAsia="Arial" w:hAnsi="Arial"/>
          <w:b/>
          <w:bCs/>
          <w:color w:val="2E75B6"/>
          <w:sz w:val="24"/>
          <w:szCs w:val="24"/>
        </w:rPr>
        <w:t xml:space="preserve">3.1.2  Median Split Analysis</w:t>
      </w:r>
    </w:p>
    <w:p>
      <w:pPr>
        <w:spacing w:after="80" w:before="80"/>
      </w:pPr>
      <w:r>
        <w:rPr>
          <w:rFonts w:ascii="Arial" w:cs="Arial" w:eastAsia="Arial" w:hAnsi="Arial"/>
          <w:color w:val="212121"/>
          <w:sz w:val="22"/>
          <w:szCs w:val="22"/>
        </w:rPr>
        <w:t xml:space="preserve">For each participant, trials were split into Fast (at or below individual median RT) and Slow (above individual median RT) groups. Mean accuracy was then compared between the two groups: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Speed Group</w:t>
            </w:r>
          </w:p>
        </w:tc>
        <w:tc>
          <w:tcPr>
            <w:tcW w:type="dxa" w:w="536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Mean Accuracy</w:t>
            </w:r>
          </w:p>
        </w:tc>
      </w:tr>
      <w:tr>
        <w:tc>
          <w:tcPr>
            <w:tcW w:type="dxa" w:w="40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Fast Trials (RT ≤ individual median)</w:t>
            </w:r>
          </w:p>
        </w:tc>
        <w:tc>
          <w:tcPr>
            <w:tcW w:type="dxa" w:w="53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85.50%</w:t>
            </w:r>
          </w:p>
        </w:tc>
      </w:tr>
      <w:tr>
        <w:tc>
          <w:tcPr>
            <w:tcW w:type="dxa" w:w="40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Slow Trials (RT &gt; individual median)</w:t>
            </w:r>
          </w:p>
        </w:tc>
        <w:tc>
          <w:tcPr>
            <w:tcW w:type="dxa" w:w="536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59.36%</w:t>
            </w:r>
          </w:p>
        </w:tc>
      </w:tr>
    </w:tbl>
    <w:p>
      <w:pPr>
        <w:spacing w:after="0" w:before="60"/>
      </w:pPr>
      <w:r>
        <w:t xml:space="preserve"/>
      </w:r>
    </w:p>
    <w:p>
      <w:pPr>
        <w:spacing w:after="80" w:before="80"/>
      </w:pPr>
      <w:r>
        <w:rPr>
          <w:rFonts w:ascii="Arial" w:cs="Arial" w:eastAsia="Arial" w:hAnsi="Arial"/>
          <w:color w:val="212121"/>
          <w:sz w:val="22"/>
          <w:szCs w:val="22"/>
        </w:rPr>
        <w:t xml:space="preserve">This 26-percentage-point gap is the first strong descriptive indicator that faster responses are associated with higher accuracy in this task.</w:t>
      </w:r>
    </w:p>
    <w:p>
      <w:pPr>
        <w:spacing w:after="0" w:before="80"/>
      </w:pPr>
      <w:r>
        <w:t xml:space="preserve"/>
      </w:r>
    </w:p>
    <w:p>
      <w:pPr>
        <w:pStyle w:val="Heading3"/>
        <w:spacing w:after="80" w:before="180"/>
      </w:pPr>
      <w:r>
        <w:rPr>
          <w:rFonts w:ascii="Arial" w:cs="Arial" w:eastAsia="Arial" w:hAnsi="Arial"/>
          <w:b/>
          <w:bCs/>
          <w:color w:val="2E75B6"/>
          <w:sz w:val="24"/>
          <w:szCs w:val="24"/>
        </w:rPr>
        <w:t xml:space="preserve">3.1.3  Z-Score Analysis</w:t>
      </w:r>
    </w:p>
    <w:p>
      <w:pPr>
        <w:spacing w:after="80" w:before="80"/>
      </w:pPr>
      <w:r>
        <w:rPr>
          <w:rFonts w:ascii="Arial" w:cs="Arial" w:eastAsia="Arial" w:hAnsi="Arial"/>
          <w:color w:val="212121"/>
          <w:sz w:val="22"/>
          <w:szCs w:val="22"/>
        </w:rPr>
        <w:t xml:space="preserve">Reaction times were z-scored within each participant to eliminate baseline speed differences. Accuracy was then compared between relatively fast (z &lt; 0) and relatively slow (z &gt; 0) trials: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Z-Score Group</w:t>
            </w:r>
          </w:p>
        </w:tc>
        <w:tc>
          <w:tcPr>
            <w:tcW w:type="dxa" w:w="456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Mean Accuracy</w:t>
            </w:r>
          </w:p>
        </w:tc>
      </w:tr>
      <w:tr>
        <w:tc>
          <w:tcPr>
            <w:tcW w:type="dxa" w:w="48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Faster than individual average (z &lt; 0)</w:t>
            </w:r>
          </w:p>
        </w:tc>
        <w:tc>
          <w:tcPr>
            <w:tcW w:type="dxa" w:w="45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Higher accuracy</w:t>
            </w:r>
          </w:p>
        </w:tc>
      </w:tr>
      <w:tr>
        <w:tc>
          <w:tcPr>
            <w:tcW w:type="dxa" w:w="48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Slower than individual average (z &gt; 0)</w:t>
            </w:r>
          </w:p>
        </w:tc>
        <w:tc>
          <w:tcPr>
            <w:tcW w:type="dxa" w:w="456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Lower accuracy</w:t>
            </w:r>
          </w:p>
        </w:tc>
      </w:tr>
    </w:tbl>
    <w:p>
      <w:pPr>
        <w:spacing w:after="0" w:before="40"/>
      </w:pPr>
      <w:r>
        <w:t xml:space="preserve"/>
      </w:r>
    </w:p>
    <w:p>
      <w:pPr>
        <w:spacing w:after="80" w:before="80"/>
      </w:pPr>
      <w:r>
        <w:rPr>
          <w:rFonts w:ascii="Arial" w:cs="Arial" w:eastAsia="Arial" w:hAnsi="Arial"/>
          <w:color w:val="212121"/>
          <w:sz w:val="22"/>
          <w:szCs w:val="22"/>
        </w:rPr>
        <w:t xml:space="preserve">Additionally, correct trials had a lower mean z-score than incorrect trials, further confirming that speed and accuracy were positively aligned (not in classic tradeoff).</w:t>
      </w:r>
    </w:p>
    <w:p>
      <w:pPr>
        <w:spacing w:after="0" w:before="80"/>
      </w:pPr>
      <w:r>
        <w:t xml:space="preserve"/>
      </w:r>
    </w:p>
    <w:p>
      <w:pPr>
        <w:pStyle w:val="Heading3"/>
        <w:spacing w:after="80" w:before="180"/>
      </w:pPr>
      <w:r>
        <w:rPr>
          <w:rFonts w:ascii="Arial" w:cs="Arial" w:eastAsia="Arial" w:hAnsi="Arial"/>
          <w:b/>
          <w:bCs/>
          <w:color w:val="2E75B6"/>
          <w:sz w:val="24"/>
          <w:szCs w:val="24"/>
        </w:rPr>
        <w:t xml:space="preserve">3.1.4  Pearson Correlation Check</w:t>
      </w:r>
    </w:p>
    <w:p>
      <w:pPr>
        <w:spacing w:after="80" w:before="80"/>
      </w:pPr>
      <w:r>
        <w:rPr>
          <w:rFonts w:ascii="Arial" w:cs="Arial" w:eastAsia="Arial" w:hAnsi="Arial"/>
          <w:color w:val="212121"/>
          <w:sz w:val="22"/>
          <w:szCs w:val="22"/>
        </w:rPr>
        <w:t xml:space="preserve">A Pearson correlation between RT and accuracy (coded as 0/1) was computed as an initial check. The overall correlation was negative, and the per-participant correlation showed the same direction in the majority of participants. However, because RT was found to be non-normal, Spearman correlation was used for the formal inferential test.</w:t>
      </w:r>
    </w:p>
    <w:p>
      <w:pPr>
        <w:spacing w:after="0" w:before="80"/>
      </w:pPr>
      <w:r>
        <w:t xml:space="preserve"/>
      </w:r>
    </w:p>
    <w:p>
      <w:pPr>
        <w:pStyle w:val="Heading2"/>
        <w:pBdr>
          <w:bottom w:val="single" w:color="2E75B6" w:sz="4"/>
        </w:pBdr>
        <w:spacing w:after="120" w:before="240"/>
      </w:pPr>
      <w:r>
        <w:rPr>
          <w:rFonts w:ascii="Arial" w:cs="Arial" w:eastAsia="Arial" w:hAnsi="Arial"/>
          <w:b/>
          <w:bCs/>
          <w:color w:val="1B3A6B"/>
          <w:sz w:val="28"/>
          <w:szCs w:val="28"/>
        </w:rPr>
        <w:t xml:space="preserve">3.2  Hypothesis 2 — Block-Level Analysis</w:t>
      </w:r>
    </w:p>
    <w:p>
      <w:pPr>
        <w:spacing w:after="0" w:before="60"/>
      </w:pPr>
      <w:r>
        <w:t xml:space="preserve"/>
      </w:r>
    </w:p>
    <w:p>
      <w:pPr>
        <w:pStyle w:val="Heading3"/>
        <w:spacing w:after="80" w:before="180"/>
      </w:pPr>
      <w:r>
        <w:rPr>
          <w:rFonts w:ascii="Arial" w:cs="Arial" w:eastAsia="Arial" w:hAnsi="Arial"/>
          <w:b/>
          <w:bCs/>
          <w:color w:val="2E75B6"/>
          <w:sz w:val="24"/>
          <w:szCs w:val="24"/>
        </w:rPr>
        <w:t xml:space="preserve">3.2.1  Block-Level Summary</w:t>
      </w:r>
    </w:p>
    <w:p>
      <w:pPr>
        <w:spacing w:after="80" w:before="80"/>
      </w:pPr>
      <w:r>
        <w:rPr>
          <w:rFonts w:ascii="Arial" w:cs="Arial" w:eastAsia="Arial" w:hAnsi="Arial"/>
          <w:color w:val="212121"/>
          <w:sz w:val="22"/>
          <w:szCs w:val="22"/>
        </w:rPr>
        <w:t xml:space="preserve">For each of the three blocks, the following aggregate statistics were computed: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200"/>
        <w:gridCol w:w="1800"/>
        <w:gridCol w:w="1560"/>
      </w:tblGrid>
      <w:tr>
        <w:tc>
          <w:tcPr>
            <w:tcW w:type="dxa" w:w="12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Block</w:t>
            </w:r>
          </w:p>
        </w:tc>
        <w:tc>
          <w:tcPr>
            <w:tcW w:type="dxa" w:w="18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Mean RT (ms)</w:t>
            </w:r>
          </w:p>
        </w:tc>
        <w:tc>
          <w:tcPr>
            <w:tcW w:type="dxa" w:w="18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Median RT (ms)</w:t>
            </w:r>
          </w:p>
        </w:tc>
        <w:tc>
          <w:tcPr>
            <w:tcW w:type="dxa" w:w="12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Std RT</w:t>
            </w:r>
          </w:p>
        </w:tc>
        <w:tc>
          <w:tcPr>
            <w:tcW w:type="dxa" w:w="18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Mean Accuracy</w:t>
            </w:r>
          </w:p>
        </w:tc>
        <w:tc>
          <w:tcPr>
            <w:tcW w:type="dxa" w:w="156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Std Accuracy</w:t>
            </w:r>
          </w:p>
        </w:tc>
      </w:tr>
      <w:tr>
        <w:tc>
          <w:tcPr>
            <w:tcW w:type="dxa" w:w="12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w:t>
            </w:r>
          </w:p>
        </w:tc>
        <w:tc>
          <w:tcPr>
            <w:tcW w:type="dxa" w:w="18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Lower</w:t>
            </w:r>
          </w:p>
        </w:tc>
        <w:tc>
          <w:tcPr>
            <w:tcW w:type="dxa" w:w="18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Lower</w:t>
            </w:r>
          </w:p>
        </w:tc>
        <w:tc>
          <w:tcPr>
            <w:tcW w:type="dxa" w:w="12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w:t>
            </w:r>
          </w:p>
        </w:tc>
        <w:tc>
          <w:tcPr>
            <w:tcW w:type="dxa" w:w="18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Highest</w:t>
            </w:r>
          </w:p>
        </w:tc>
        <w:tc>
          <w:tcPr>
            <w:tcW w:type="dxa" w:w="15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w:t>
            </w:r>
          </w:p>
        </w:tc>
      </w:tr>
      <w:tr>
        <w:tc>
          <w:tcPr>
            <w:tcW w:type="dxa" w:w="12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2</w:t>
            </w:r>
          </w:p>
        </w:tc>
        <w:tc>
          <w:tcPr>
            <w:tcW w:type="dxa" w:w="18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Higher</w:t>
            </w:r>
          </w:p>
        </w:tc>
        <w:tc>
          <w:tcPr>
            <w:tcW w:type="dxa" w:w="18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Higher</w:t>
            </w:r>
          </w:p>
        </w:tc>
        <w:tc>
          <w:tcPr>
            <w:tcW w:type="dxa" w:w="12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w:t>
            </w:r>
          </w:p>
        </w:tc>
        <w:tc>
          <w:tcPr>
            <w:tcW w:type="dxa" w:w="18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Moderate</w:t>
            </w:r>
          </w:p>
        </w:tc>
        <w:tc>
          <w:tcPr>
            <w:tcW w:type="dxa" w:w="156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w:t>
            </w:r>
          </w:p>
        </w:tc>
      </w:tr>
      <w:tr>
        <w:tc>
          <w:tcPr>
            <w:tcW w:type="dxa" w:w="12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3</w:t>
            </w:r>
          </w:p>
        </w:tc>
        <w:tc>
          <w:tcPr>
            <w:tcW w:type="dxa" w:w="18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Highest</w:t>
            </w:r>
          </w:p>
        </w:tc>
        <w:tc>
          <w:tcPr>
            <w:tcW w:type="dxa" w:w="18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Highest</w:t>
            </w:r>
          </w:p>
        </w:tc>
        <w:tc>
          <w:tcPr>
            <w:tcW w:type="dxa" w:w="12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w:t>
            </w:r>
          </w:p>
        </w:tc>
        <w:tc>
          <w:tcPr>
            <w:tcW w:type="dxa" w:w="18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Lowest</w:t>
            </w:r>
          </w:p>
        </w:tc>
        <w:tc>
          <w:tcPr>
            <w:tcW w:type="dxa" w:w="15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w:t>
            </w:r>
          </w:p>
        </w:tc>
      </w:tr>
    </w:tbl>
    <w:p>
      <w:pPr>
        <w:spacing w:after="0" w:before="60"/>
      </w:pPr>
      <w:r>
        <w:t xml:space="preserve"/>
      </w:r>
    </w:p>
    <w:p>
      <w:pPr>
        <w:spacing w:after="80" w:before="80"/>
      </w:pPr>
      <w:r>
        <w:rPr>
          <w:rFonts w:ascii="Arial" w:cs="Arial" w:eastAsia="Arial" w:hAnsi="Arial"/>
          <w:color w:val="212121"/>
          <w:sz w:val="22"/>
          <w:szCs w:val="22"/>
        </w:rPr>
        <w:t xml:space="preserve">The descriptive trend clearly shows both RT increasing and accuracy declining across blocks, consistent with a cognitive fatigue effect.</w:t>
      </w:r>
    </w:p>
    <w:p>
      <w:pPr>
        <w:spacing w:after="0" w:before="80"/>
      </w:pPr>
      <w:r>
        <w:t xml:space="preserve"/>
      </w:r>
    </w:p>
    <w:p>
      <w:pPr>
        <w:pStyle w:val="Heading3"/>
        <w:spacing w:after="80" w:before="180"/>
      </w:pPr>
      <w:r>
        <w:rPr>
          <w:rFonts w:ascii="Arial" w:cs="Arial" w:eastAsia="Arial" w:hAnsi="Arial"/>
          <w:b/>
          <w:bCs/>
          <w:color w:val="2E75B6"/>
          <w:sz w:val="24"/>
          <w:szCs w:val="24"/>
        </w:rPr>
        <w:t xml:space="preserve">3.2.2  Participant-Level Trends</w:t>
      </w:r>
    </w:p>
    <w:p>
      <w:pPr>
        <w:spacing w:after="80" w:before="80"/>
      </w:pPr>
      <w:r>
        <w:rPr>
          <w:rFonts w:ascii="Arial" w:cs="Arial" w:eastAsia="Arial" w:hAnsi="Arial"/>
          <w:color w:val="212121"/>
          <w:sz w:val="22"/>
          <w:szCs w:val="22"/>
        </w:rPr>
        <w:t xml:space="preserve">To quantify how consistent the trend was at the individual level, participant-wise trends from Block 1 to Block 3 were analyzed: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Trend Metric</w:t>
            </w:r>
          </w:p>
        </w:tc>
        <w:tc>
          <w:tcPr>
            <w:tcW w:type="dxa" w:w="456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Finding</w:t>
            </w:r>
          </w:p>
        </w:tc>
      </w:tr>
      <w:tr>
        <w:tc>
          <w:tcPr>
            <w:tcW w:type="dxa" w:w="48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Participants with RT increase (Block 3 vs Block 1)</w:t>
            </w:r>
          </w:p>
        </w:tc>
        <w:tc>
          <w:tcPr>
            <w:tcW w:type="dxa" w:w="45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Majority of participants (&gt;50%)</w:t>
            </w:r>
          </w:p>
        </w:tc>
      </w:tr>
      <w:tr>
        <w:tc>
          <w:tcPr>
            <w:tcW w:type="dxa" w:w="48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Participants with Accuracy decrease (Block 3 vs Block 1)</w:t>
            </w:r>
          </w:p>
        </w:tc>
        <w:tc>
          <w:tcPr>
            <w:tcW w:type="dxa" w:w="456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Majority of participants (&gt;50%)</w:t>
            </w:r>
          </w:p>
        </w:tc>
      </w:tr>
    </w:tbl>
    <w:p>
      <w:pPr>
        <w:spacing w:after="0" w:before="60"/>
      </w:pPr>
      <w:r>
        <w:t xml:space="preserve"/>
      </w:r>
    </w:p>
    <w:p>
      <w:pPr>
        <w:spacing w:after="80" w:before="80"/>
      </w:pPr>
      <w:r>
        <w:rPr>
          <w:rFonts w:ascii="Arial" w:cs="Arial" w:eastAsia="Arial" w:hAnsi="Arial"/>
          <w:color w:val="212121"/>
          <w:sz w:val="22"/>
          <w:szCs w:val="22"/>
        </w:rPr>
        <w:t xml:space="preserve">Both trends were observed in the majority of the sample, providing strong descriptive support for H2 before any formal testing.</w:t>
      </w:r>
    </w:p>
    <w:p>
      <w:pPr>
        <w:spacing w:after="0" w:before="80"/>
      </w:pPr>
      <w:r>
        <w:t xml:space="preserve"/>
      </w:r>
    </w:p>
    <w:p>
      <w:pPr>
        <w:pStyle w:val="Heading1"/>
        <w:pBdr>
          <w:bottom w:val="single" w:color="C55A11" w:sz="6"/>
        </w:pBdr>
        <w:shd w:fill="1B3A6B" w:val="clear"/>
        <w:spacing w:after="160" w:before="300"/>
      </w:pPr>
      <w:r>
        <w:rPr>
          <w:rFonts w:ascii="Arial" w:cs="Arial" w:eastAsia="Arial" w:hAnsi="Arial"/>
          <w:b/>
          <w:bCs/>
          <w:color w:val="FFFFFF"/>
          <w:sz w:val="36"/>
          <w:szCs w:val="36"/>
        </w:rPr>
        <w:t xml:space="preserve">4. Visualizations</w:t>
      </w:r>
    </w:p>
    <w:p>
      <w:pPr>
        <w:spacing w:after="0" w:before="80"/>
      </w:pPr>
      <w:r>
        <w:t xml:space="preserve"/>
      </w:r>
    </w:p>
    <w:p>
      <w:pPr>
        <w:pStyle w:val="Heading2"/>
        <w:pBdr>
          <w:bottom w:val="single" w:color="2E75B6" w:sz="4"/>
        </w:pBdr>
        <w:spacing w:after="120" w:before="240"/>
      </w:pPr>
      <w:r>
        <w:rPr>
          <w:rFonts w:ascii="Arial" w:cs="Arial" w:eastAsia="Arial" w:hAnsi="Arial"/>
          <w:b/>
          <w:bCs/>
          <w:color w:val="1B3A6B"/>
          <w:sz w:val="28"/>
          <w:szCs w:val="28"/>
        </w:rPr>
        <w:t xml:space="preserve">4.1  H1 Visualizations (Trial Level)</w:t>
      </w:r>
    </w:p>
    <w:p>
      <w:pPr>
        <w:spacing w:after="0" w:before="40"/>
      </w:pPr>
      <w:r>
        <w:t xml:space="preserve"/>
      </w:r>
    </w:p>
    <w:p>
      <w:pPr>
        <w:spacing w:after="80" w:before="80"/>
      </w:pPr>
      <w:r>
        <w:rPr>
          <w:rFonts w:ascii="Arial" w:cs="Arial" w:eastAsia="Arial" w:hAnsi="Arial"/>
          <w:color w:val="212121"/>
          <w:sz w:val="22"/>
          <w:szCs w:val="22"/>
        </w:rPr>
        <w:t xml:space="preserve">Four plots were produced and saved as H1_visualizations.png: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Plot</w:t>
            </w:r>
          </w:p>
        </w:tc>
        <w:tc>
          <w:tcPr>
            <w:tcW w:type="dxa" w:w="30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c>
          <w:tcPr>
            <w:tcW w:type="dxa" w:w="376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Observation</w:t>
            </w:r>
          </w:p>
        </w:tc>
      </w:tr>
      <w:tr>
        <w:tc>
          <w:tcPr>
            <w:tcW w:type="dxa" w:w="26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RT Distribution Histogram (with KDE)</w:t>
            </w:r>
          </w:p>
        </w:tc>
        <w:tc>
          <w:tcPr>
            <w:tcW w:type="dxa" w:w="30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Visualize overall RT shape</w:t>
            </w:r>
          </w:p>
        </w:tc>
        <w:tc>
          <w:tcPr>
            <w:tcW w:type="dxa" w:w="37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Right-skewed distribution — most responses clustered at lower RTs, with a long tail</w:t>
            </w:r>
          </w:p>
        </w:tc>
      </w:tr>
      <w:tr>
        <w:tc>
          <w:tcPr>
            <w:tcW w:type="dxa" w:w="26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RT vs Accuracy Scatter (Logistic Regression)</w:t>
            </w:r>
          </w:p>
        </w:tc>
        <w:tc>
          <w:tcPr>
            <w:tcW w:type="dxa" w:w="30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Show relationship direction</w:t>
            </w:r>
          </w:p>
        </w:tc>
        <w:tc>
          <w:tcPr>
            <w:tcW w:type="dxa" w:w="376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Logistic fit shows decreasing probability of correct response as RT increases</w:t>
            </w:r>
          </w:p>
        </w:tc>
      </w:tr>
      <w:tr>
        <w:tc>
          <w:tcPr>
            <w:tcW w:type="dxa" w:w="26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Boxplot: RT by Accuracy</w:t>
            </w:r>
          </w:p>
        </w:tc>
        <w:tc>
          <w:tcPr>
            <w:tcW w:type="dxa" w:w="30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Compare RT distributions for correct vs. incorrect</w:t>
            </w:r>
          </w:p>
        </w:tc>
        <w:tc>
          <w:tcPr>
            <w:tcW w:type="dxa" w:w="37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Incorrect responses showed higher and more variable RT than correct responses</w:t>
            </w:r>
          </w:p>
        </w:tc>
      </w:tr>
      <w:tr>
        <w:tc>
          <w:tcPr>
            <w:tcW w:type="dxa" w:w="26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Bar Plot: Fast vs Slow Accuracy</w:t>
            </w:r>
          </w:p>
        </w:tc>
        <w:tc>
          <w:tcPr>
            <w:tcW w:type="dxa" w:w="30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Directly visualize median split finding</w:t>
            </w:r>
          </w:p>
        </w:tc>
        <w:tc>
          <w:tcPr>
            <w:tcW w:type="dxa" w:w="376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Fast group accuracy clearly higher than slow group, with error bars confirming consistency</w:t>
            </w:r>
          </w:p>
        </w:tc>
      </w:tr>
    </w:tbl>
    <w:p>
      <w:pPr>
        <w:spacing w:after="0" w:before="120"/>
      </w:pPr>
      <w:r>
        <w:t xml:space="preserve"/>
      </w:r>
    </w:p>
    <w:p>
      <w:pPr>
        <w:pStyle w:val="Heading2"/>
        <w:pBdr>
          <w:bottom w:val="single" w:color="2E75B6" w:sz="4"/>
        </w:pBdr>
        <w:spacing w:after="120" w:before="240"/>
      </w:pPr>
      <w:r>
        <w:rPr>
          <w:rFonts w:ascii="Arial" w:cs="Arial" w:eastAsia="Arial" w:hAnsi="Arial"/>
          <w:b/>
          <w:bCs/>
          <w:color w:val="1B3A6B"/>
          <w:sz w:val="28"/>
          <w:szCs w:val="28"/>
        </w:rPr>
        <w:t xml:space="preserve">4.2  H2 Visualizations (Block Level)</w:t>
      </w:r>
    </w:p>
    <w:p>
      <w:pPr>
        <w:spacing w:after="0" w:before="40"/>
      </w:pPr>
      <w:r>
        <w:t xml:space="preserve"/>
      </w:r>
    </w:p>
    <w:p>
      <w:pPr>
        <w:spacing w:after="80" w:before="80"/>
      </w:pPr>
      <w:r>
        <w:rPr>
          <w:rFonts w:ascii="Arial" w:cs="Arial" w:eastAsia="Arial" w:hAnsi="Arial"/>
          <w:color w:val="212121"/>
          <w:sz w:val="22"/>
          <w:szCs w:val="22"/>
        </w:rPr>
        <w:t xml:space="preserve">Four plots were produced and saved as H2_visualizations.png: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Plot</w:t>
            </w:r>
          </w:p>
        </w:tc>
        <w:tc>
          <w:tcPr>
            <w:tcW w:type="dxa" w:w="30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c>
          <w:tcPr>
            <w:tcW w:type="dxa" w:w="376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Observation</w:t>
            </w:r>
          </w:p>
        </w:tc>
      </w:tr>
      <w:tr>
        <w:tc>
          <w:tcPr>
            <w:tcW w:type="dxa" w:w="26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Spaghetti Line Plot: RT vs Block</w:t>
            </w:r>
          </w:p>
        </w:tc>
        <w:tc>
          <w:tcPr>
            <w:tcW w:type="dxa" w:w="30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Individual and average RT trends</w:t>
            </w:r>
          </w:p>
        </w:tc>
        <w:tc>
          <w:tcPr>
            <w:tcW w:type="dxa" w:w="37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Most individual lines trend upward; average line shows clear RT increase from Block 1 to 3</w:t>
            </w:r>
          </w:p>
        </w:tc>
      </w:tr>
      <w:tr>
        <w:tc>
          <w:tcPr>
            <w:tcW w:type="dxa" w:w="26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Spaghetti Line Plot: Accuracy vs Block</w:t>
            </w:r>
          </w:p>
        </w:tc>
        <w:tc>
          <w:tcPr>
            <w:tcW w:type="dxa" w:w="30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Individual and average accuracy trends</w:t>
            </w:r>
          </w:p>
        </w:tc>
        <w:tc>
          <w:tcPr>
            <w:tcW w:type="dxa" w:w="376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Strong downward trend in accuracy visible at both individual and group level</w:t>
            </w:r>
          </w:p>
        </w:tc>
      </w:tr>
      <w:tr>
        <w:tc>
          <w:tcPr>
            <w:tcW w:type="dxa" w:w="26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Bar Plot: Average RT per Block</w:t>
            </w:r>
          </w:p>
        </w:tc>
        <w:tc>
          <w:tcPr>
            <w:tcW w:type="dxa" w:w="30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Aggregate RT summary</w:t>
            </w:r>
          </w:p>
        </w:tc>
        <w:tc>
          <w:tcPr>
            <w:tcW w:type="dxa" w:w="37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Progressive increase in RT from Block 1 to Block 3</w:t>
            </w:r>
          </w:p>
        </w:tc>
      </w:tr>
      <w:tr>
        <w:tc>
          <w:tcPr>
            <w:tcW w:type="dxa" w:w="26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Boxplot: Accuracy Spread per Block</w:t>
            </w:r>
          </w:p>
        </w:tc>
        <w:tc>
          <w:tcPr>
            <w:tcW w:type="dxa" w:w="30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Show variability in accuracy</w:t>
            </w:r>
          </w:p>
        </w:tc>
        <w:tc>
          <w:tcPr>
            <w:tcW w:type="dxa" w:w="376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Median accuracy decreases and spread increases across blocks, indicating growing individual differences</w:t>
            </w:r>
          </w:p>
        </w:tc>
      </w:tr>
    </w:tbl>
    <w:p>
      <w:pPr>
        <w:spacing w:after="0" w:before="120"/>
      </w:pPr>
      <w:r>
        <w:t xml:space="preserve"/>
      </w:r>
    </w:p>
    <w:p>
      <w:pPr>
        <w:pStyle w:val="Heading1"/>
        <w:pBdr>
          <w:bottom w:val="single" w:color="C55A11" w:sz="6"/>
        </w:pBdr>
        <w:shd w:fill="1B3A6B" w:val="clear"/>
        <w:spacing w:after="160" w:before="300"/>
      </w:pPr>
      <w:r>
        <w:rPr>
          <w:rFonts w:ascii="Arial" w:cs="Arial" w:eastAsia="Arial" w:hAnsi="Arial"/>
          <w:b/>
          <w:bCs/>
          <w:color w:val="FFFFFF"/>
          <w:sz w:val="36"/>
          <w:szCs w:val="36"/>
        </w:rPr>
        <w:t xml:space="preserve">5. Normality Testing</w:t>
      </w:r>
    </w:p>
    <w:p>
      <w:pPr>
        <w:spacing w:after="0" w:before="80"/>
      </w:pPr>
      <w:r>
        <w:t xml:space="preserve"/>
      </w:r>
    </w:p>
    <w:p>
      <w:pPr>
        <w:spacing w:after="80" w:before="80"/>
      </w:pPr>
      <w:r>
        <w:rPr>
          <w:rFonts w:ascii="Arial" w:cs="Arial" w:eastAsia="Arial" w:hAnsi="Arial"/>
          <w:color w:val="212121"/>
          <w:sz w:val="22"/>
          <w:szCs w:val="22"/>
        </w:rPr>
        <w:t xml:space="preserve">Before selecting inferential tests, formal normality checks were performed using the Shapiro-Wilk test, supplemented by visual inspection (histograms with KDE and Normal Q-Q plots).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300"/>
        <w:gridCol w:w="2860"/>
      </w:tblGrid>
      <w:tr>
        <w:tc>
          <w:tcPr>
            <w:tcW w:type="dxa" w:w="18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Hypothesis</w:t>
            </w:r>
          </w:p>
        </w:tc>
        <w:tc>
          <w:tcPr>
            <w:tcW w:type="dxa" w:w="24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Variable</w:t>
            </w:r>
          </w:p>
        </w:tc>
        <w:tc>
          <w:tcPr>
            <w:tcW w:type="dxa" w:w="23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Shapiro-Wilk P-value</w:t>
            </w:r>
          </w:p>
        </w:tc>
        <w:tc>
          <w:tcPr>
            <w:tcW w:type="dxa" w:w="286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Conclusion</w:t>
            </w:r>
          </w:p>
        </w:tc>
      </w:tr>
      <w:tr>
        <w:tc>
          <w:tcPr>
            <w:tcW w:type="dxa" w:w="18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H1 (Trial Level)</w:t>
            </w:r>
          </w:p>
        </w:tc>
        <w:tc>
          <w:tcPr>
            <w:tcW w:type="dxa" w:w="24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Reaction Time (IR)</w:t>
            </w:r>
          </w:p>
        </w:tc>
        <w:tc>
          <w:tcPr>
            <w:tcW w:type="dxa" w:w="23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&lt; 0.05 (extremely small)</w:t>
            </w:r>
          </w:p>
        </w:tc>
        <w:tc>
          <w:tcPr>
            <w:tcW w:type="dxa" w:w="28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Non-Normal — Right-skewed distribution</w:t>
            </w:r>
          </w:p>
        </w:tc>
      </w:tr>
      <w:tr>
        <w:tc>
          <w:tcPr>
            <w:tcW w:type="dxa" w:w="18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H2 (Block Level)</w:t>
            </w:r>
          </w:p>
        </w:tc>
        <w:tc>
          <w:tcPr>
            <w:tcW w:type="dxa" w:w="24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Block Mean RT</w:t>
            </w:r>
          </w:p>
        </w:tc>
        <w:tc>
          <w:tcPr>
            <w:tcW w:type="dxa" w:w="23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3.6145e-02</w:t>
            </w:r>
          </w:p>
        </w:tc>
        <w:tc>
          <w:tcPr>
            <w:tcW w:type="dxa" w:w="286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Non-Normal</w:t>
            </w:r>
          </w:p>
        </w:tc>
      </w:tr>
      <w:tr>
        <w:tc>
          <w:tcPr>
            <w:tcW w:type="dxa" w:w="18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H2 (Block Level)</w:t>
            </w:r>
          </w:p>
        </w:tc>
        <w:tc>
          <w:tcPr>
            <w:tcW w:type="dxa" w:w="24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Block Accuracy</w:t>
            </w:r>
          </w:p>
        </w:tc>
        <w:tc>
          <w:tcPr>
            <w:tcW w:type="dxa" w:w="23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5.8782e-07</w:t>
            </w:r>
          </w:p>
        </w:tc>
        <w:tc>
          <w:tcPr>
            <w:tcW w:type="dxa" w:w="28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Non-Normal — Strongly non-normal</w:t>
            </w:r>
          </w:p>
        </w:tc>
      </w:tr>
    </w:tbl>
    <w:p>
      <w:pPr>
        <w:spacing w:after="0" w:before="80"/>
      </w:pPr>
      <w:r>
        <w:t xml:space="preserve"/>
      </w:r>
    </w:p>
    <w:tbl>
      <w:tblPr>
        <w:tblW w:type="dxa" w:w="9360"/>
        <w:tblBorders>
          <w:top w:val="single" w:color="2E75B6" w:sz="6"/>
          <w:left w:val="single" w:color="C55A11" w:sz="6"/>
          <w:bottom w:val="single" w:color="2E75B6" w:sz="6"/>
          <w:right w:val="single" w:color="2E75B6" w:sz="6"/>
          <w:insideH w:val="single" w:color="auto" w:sz="4"/>
          <w:insideV w:val="single" w:color="auto" w:sz="4"/>
        </w:tblBorders>
      </w:tblPr>
      <w:tblGrid>
        <w:gridCol w:w="9360"/>
      </w:tblGrid>
      <w:tr>
        <w:tc>
          <w:tcPr>
            <w:tcW w:type="dxa" w:w="9360"/>
            <w:tcBorders>
              <w:top w:val="single" w:color="C55A11" w:sz="8"/>
              <w:left w:val="single" w:color="C55A11" w:sz="16"/>
              <w:bottom w:val="single" w:color="B8CCE4" w:sz="4"/>
              <w:right w:val="nil" w:color="FFFFFF" w:sz="0"/>
            </w:tcBorders>
            <w:shd w:fill="EBF3FB"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Decision: Because all variables violated the normality assumption, non-parametric inferential tests were selected for both hypotheses.</w:t>
            </w:r>
          </w:p>
          <w:p>
            <w:pPr>
              <w:spacing w:after="40" w:before="40"/>
            </w:pPr>
            <w:r>
              <w:rPr>
                <w:rFonts w:ascii="Arial" w:cs="Arial" w:eastAsia="Arial" w:hAnsi="Arial"/>
                <w:color w:val="212121"/>
                <w:sz w:val="21"/>
                <w:szCs w:val="21"/>
              </w:rPr>
              <w:t xml:space="preserve">  •  H1: Mann-Whitney U Test, Spearman Correlation, and Logistic Regression</w:t>
            </w:r>
          </w:p>
          <w:p>
            <w:pPr>
              <w:spacing w:after="40" w:before="40"/>
            </w:pPr>
            <w:r>
              <w:rPr>
                <w:rFonts w:ascii="Arial" w:cs="Arial" w:eastAsia="Arial" w:hAnsi="Arial"/>
                <w:color w:val="212121"/>
                <w:sz w:val="21"/>
                <w:szCs w:val="21"/>
              </w:rPr>
              <w:t xml:space="preserve">  •  H2: Friedman Test with post-hoc Wilcoxon Signed-Rank Tests and Bonferroni correction</w:t>
            </w:r>
          </w:p>
        </w:tc>
      </w:tr>
    </w:tbl>
    <w:p>
      <w:pPr>
        <w:spacing w:after="0" w:before="120"/>
      </w:pPr>
      <w:r>
        <w:t xml:space="preserve"/>
      </w:r>
    </w:p>
    <w:p>
      <w:pPr>
        <w:pStyle w:val="Heading1"/>
        <w:pBdr>
          <w:bottom w:val="single" w:color="C55A11" w:sz="6"/>
        </w:pBdr>
        <w:shd w:fill="1B3A6B" w:val="clear"/>
        <w:spacing w:after="160" w:before="300"/>
      </w:pPr>
      <w:r>
        <w:rPr>
          <w:rFonts w:ascii="Arial" w:cs="Arial" w:eastAsia="Arial" w:hAnsi="Arial"/>
          <w:b/>
          <w:bCs/>
          <w:color w:val="FFFFFF"/>
          <w:sz w:val="36"/>
          <w:szCs w:val="36"/>
        </w:rPr>
        <w:t xml:space="preserve">6. Inferential Statistics</w:t>
      </w:r>
    </w:p>
    <w:p>
      <w:pPr>
        <w:spacing w:after="0" w:before="80"/>
      </w:pPr>
      <w:r>
        <w:t xml:space="preserve"/>
      </w:r>
    </w:p>
    <w:p>
      <w:pPr>
        <w:pStyle w:val="Heading2"/>
        <w:pBdr>
          <w:bottom w:val="single" w:color="2E75B6" w:sz="4"/>
        </w:pBdr>
        <w:spacing w:after="120" w:before="240"/>
      </w:pPr>
      <w:r>
        <w:rPr>
          <w:rFonts w:ascii="Arial" w:cs="Arial" w:eastAsia="Arial" w:hAnsi="Arial"/>
          <w:b/>
          <w:bCs/>
          <w:color w:val="1B3A6B"/>
          <w:sz w:val="28"/>
          <w:szCs w:val="28"/>
        </w:rPr>
        <w:t xml:space="preserve">6.1  Hypothesis 1 — Trial-Level Inferential Tests</w:t>
      </w:r>
    </w:p>
    <w:p>
      <w:pPr>
        <w:spacing w:after="0" w:before="60"/>
      </w:pPr>
      <w:r>
        <w:t xml:space="preserve"/>
      </w:r>
    </w:p>
    <w:p>
      <w:pPr>
        <w:pStyle w:val="Heading3"/>
        <w:spacing w:after="80" w:before="180"/>
      </w:pPr>
      <w:r>
        <w:rPr>
          <w:rFonts w:ascii="Arial" w:cs="Arial" w:eastAsia="Arial" w:hAnsi="Arial"/>
          <w:b/>
          <w:bCs/>
          <w:color w:val="2E75B6"/>
          <w:sz w:val="24"/>
          <w:szCs w:val="24"/>
        </w:rPr>
        <w:t xml:space="preserve">6.1.1  Mann-Whitney U Test (Fast vs. Slow Groups)</w:t>
      </w:r>
    </w:p>
    <w:p>
      <w:pPr>
        <w:spacing w:after="80" w:before="80"/>
      </w:pPr>
      <w:r>
        <w:rPr>
          <w:rFonts w:ascii="Arial" w:cs="Arial" w:eastAsia="Arial" w:hAnsi="Arial"/>
          <w:color w:val="212121"/>
          <w:sz w:val="22"/>
          <w:szCs w:val="22"/>
        </w:rPr>
        <w:t xml:space="preserve">The Mann-Whitney U test compared accuracy distributions between Fast and Slow trial groups (defined by within-participant median split). This tests whether the two groups differ systematically without assuming normality.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586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r>
      <w:tr>
        <w:tc>
          <w:tcPr>
            <w:tcW w:type="dxa" w:w="35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U-Statistic</w:t>
            </w:r>
          </w:p>
        </w:tc>
        <w:tc>
          <w:tcPr>
            <w:tcW w:type="dxa" w:w="58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36,282,022.50</w:t>
            </w:r>
          </w:p>
        </w:tc>
      </w:tr>
      <w:tr>
        <w:tc>
          <w:tcPr>
            <w:tcW w:type="dxa" w:w="35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P-value</w:t>
            </w:r>
          </w:p>
        </w:tc>
        <w:tc>
          <w:tcPr>
            <w:tcW w:type="dxa" w:w="586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7.1535e-285</w:t>
            </w:r>
          </w:p>
        </w:tc>
      </w:tr>
      <w:tr>
        <w:tc>
          <w:tcPr>
            <w:tcW w:type="dxa" w:w="35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Mean Accuracy — Fast Group</w:t>
            </w:r>
          </w:p>
        </w:tc>
        <w:tc>
          <w:tcPr>
            <w:tcW w:type="dxa" w:w="58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85.50%</w:t>
            </w:r>
          </w:p>
        </w:tc>
      </w:tr>
      <w:tr>
        <w:tc>
          <w:tcPr>
            <w:tcW w:type="dxa" w:w="35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Mean Accuracy — Slow Group</w:t>
            </w:r>
          </w:p>
        </w:tc>
        <w:tc>
          <w:tcPr>
            <w:tcW w:type="dxa" w:w="586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59.36%</w:t>
            </w:r>
          </w:p>
        </w:tc>
      </w:tr>
      <w:tr>
        <w:tc>
          <w:tcPr>
            <w:tcW w:type="dxa" w:w="35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Result</w:t>
            </w:r>
          </w:p>
        </w:tc>
        <w:tc>
          <w:tcPr>
            <w:tcW w:type="dxa" w:w="58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SIGNIFICANT — Fast trials are significantly more accurate than slow trials</w:t>
            </w:r>
          </w:p>
        </w:tc>
      </w:tr>
    </w:tbl>
    <w:p>
      <w:pPr>
        <w:spacing w:after="0" w:before="80"/>
      </w:pPr>
      <w:r>
        <w:t xml:space="preserve"/>
      </w:r>
    </w:p>
    <w:p>
      <w:pPr>
        <w:pStyle w:val="Heading3"/>
        <w:spacing w:after="80" w:before="180"/>
      </w:pPr>
      <w:r>
        <w:rPr>
          <w:rFonts w:ascii="Arial" w:cs="Arial" w:eastAsia="Arial" w:hAnsi="Arial"/>
          <w:b/>
          <w:bCs/>
          <w:color w:val="2E75B6"/>
          <w:sz w:val="24"/>
          <w:szCs w:val="24"/>
        </w:rPr>
        <w:t xml:space="preserve">6.1.2  Spearman Correlation</w:t>
      </w:r>
    </w:p>
    <w:p>
      <w:pPr>
        <w:spacing w:after="80" w:before="80"/>
      </w:pPr>
      <w:r>
        <w:rPr>
          <w:rFonts w:ascii="Arial" w:cs="Arial" w:eastAsia="Arial" w:hAnsi="Arial"/>
          <w:color w:val="212121"/>
          <w:sz w:val="22"/>
          <w:szCs w:val="22"/>
        </w:rPr>
        <w:t xml:space="preserve">Spearman's rank correlation was computed between RT and accuracy (coded as 0/1) to quantify the monotonic relationship. This is more appropriate than Pearson for non-normal, ordinal-encoded data.</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586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r>
      <w:tr>
        <w:tc>
          <w:tcPr>
            <w:tcW w:type="dxa" w:w="35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Spearman's Rho (ρ)</w:t>
            </w:r>
          </w:p>
        </w:tc>
        <w:tc>
          <w:tcPr>
            <w:tcW w:type="dxa" w:w="58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-0.3287</w:t>
            </w:r>
          </w:p>
        </w:tc>
      </w:tr>
      <w:tr>
        <w:tc>
          <w:tcPr>
            <w:tcW w:type="dxa" w:w="35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P-value</w:t>
            </w:r>
          </w:p>
        </w:tc>
        <w:tc>
          <w:tcPr>
            <w:tcW w:type="dxa" w:w="586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&lt; 0.0001</w:t>
            </w:r>
          </w:p>
        </w:tc>
      </w:tr>
      <w:tr>
        <w:tc>
          <w:tcPr>
            <w:tcW w:type="dxa" w:w="35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Direction</w:t>
            </w:r>
          </w:p>
        </w:tc>
        <w:tc>
          <w:tcPr>
            <w:tcW w:type="dxa" w:w="58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Significant Negative Correlation — higher RT associated with lower accuracy</w:t>
            </w:r>
          </w:p>
        </w:tc>
      </w:tr>
      <w:tr>
        <w:tc>
          <w:tcPr>
            <w:tcW w:type="dxa" w:w="35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Average Individual Rho</w:t>
            </w:r>
          </w:p>
        </w:tc>
        <w:tc>
          <w:tcPr>
            <w:tcW w:type="dxa" w:w="586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-0.3577</w:t>
            </w:r>
          </w:p>
        </w:tc>
      </w:tr>
      <w:tr>
        <w:tc>
          <w:tcPr>
            <w:tcW w:type="dxa" w:w="35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Robustness</w:t>
            </w:r>
          </w:p>
        </w:tc>
        <w:tc>
          <w:tcPr>
            <w:tcW w:type="dxa" w:w="58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112 out of 114 participants showed a negative individual correlation</w:t>
            </w:r>
          </w:p>
        </w:tc>
      </w:tr>
    </w:tbl>
    <w:p>
      <w:pPr>
        <w:spacing w:after="0" w:before="60"/>
      </w:pPr>
      <w:r>
        <w:t xml:space="preserve"/>
      </w:r>
    </w:p>
    <w:p>
      <w:pPr>
        <w:spacing w:after="80" w:before="80"/>
      </w:pPr>
      <w:r>
        <w:rPr>
          <w:rFonts w:ascii="Arial" w:cs="Arial" w:eastAsia="Arial" w:hAnsi="Arial"/>
          <w:color w:val="212121"/>
          <w:sz w:val="22"/>
          <w:szCs w:val="22"/>
        </w:rPr>
        <w:t xml:space="preserve">The consistency of the negative correlation across 112 out of 114 participants is a particularly strong indicator that this effect is not driven by outliers, but is a reliable individual-level pattern.</w:t>
      </w:r>
    </w:p>
    <w:p>
      <w:pPr>
        <w:spacing w:after="0" w:before="80"/>
      </w:pPr>
      <w:r>
        <w:t xml:space="preserve"/>
      </w:r>
    </w:p>
    <w:p>
      <w:pPr>
        <w:pStyle w:val="Heading3"/>
        <w:spacing w:after="80" w:before="180"/>
      </w:pPr>
      <w:r>
        <w:rPr>
          <w:rFonts w:ascii="Arial" w:cs="Arial" w:eastAsia="Arial" w:hAnsi="Arial"/>
          <w:b/>
          <w:bCs/>
          <w:color w:val="2E75B6"/>
          <w:sz w:val="24"/>
          <w:szCs w:val="24"/>
        </w:rPr>
        <w:t xml:space="preserve">6.1.3  Logistic Regression</w:t>
      </w:r>
    </w:p>
    <w:p>
      <w:pPr>
        <w:spacing w:after="80" w:before="80"/>
      </w:pPr>
      <w:r>
        <w:rPr>
          <w:rFonts w:ascii="Arial" w:cs="Arial" w:eastAsia="Arial" w:hAnsi="Arial"/>
          <w:color w:val="212121"/>
          <w:sz w:val="22"/>
          <w:szCs w:val="22"/>
        </w:rPr>
        <w:t xml:space="preserve">A logistic regression model was fitted with RT (z-scored within participants) as the predictor and binary accuracy as the outcome. Within-participant z-scoring controls for individual differences in baseline speed.</w:t>
      </w:r>
    </w:p>
    <w:p>
      <w:pPr>
        <w:spacing w:after="80" w:before="80"/>
      </w:pPr>
      <w:r>
        <w:rPr>
          <w:rFonts w:ascii="Arial" w:cs="Arial" w:eastAsia="Arial" w:hAnsi="Arial"/>
          <w:color w:val="212121"/>
          <w:sz w:val="22"/>
          <w:szCs w:val="22"/>
        </w:rPr>
        <w:t xml:space="preserve">Model:</w:t>
      </w:r>
      <w:r>
        <w:rPr>
          <w:rFonts w:ascii="Arial" w:cs="Arial" w:eastAsia="Arial" w:hAnsi="Arial"/>
          <w:b/>
          <w:bCs/>
          <w:color w:val="212121"/>
          <w:sz w:val="22"/>
          <w:szCs w:val="22"/>
        </w:rPr>
        <w:t xml:space="preserve">  Accuracy ~ RT_Z</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Parameter</w:t>
            </w:r>
          </w:p>
        </w:tc>
        <w:tc>
          <w:tcPr>
            <w:tcW w:type="dxa" w:w="586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r>
      <w:tr>
        <w:tc>
          <w:tcPr>
            <w:tcW w:type="dxa" w:w="35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RT_Z Coefficient</w:t>
            </w:r>
          </w:p>
        </w:tc>
        <w:tc>
          <w:tcPr>
            <w:tcW w:type="dxa" w:w="58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-0.8120</w:t>
            </w:r>
          </w:p>
        </w:tc>
      </w:tr>
      <w:tr>
        <w:tc>
          <w:tcPr>
            <w:tcW w:type="dxa" w:w="35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P-value</w:t>
            </w:r>
          </w:p>
        </w:tc>
        <w:tc>
          <w:tcPr>
            <w:tcW w:type="dxa" w:w="586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&lt; 0.0001</w:t>
            </w:r>
          </w:p>
        </w:tc>
      </w:tr>
      <w:tr>
        <w:tc>
          <w:tcPr>
            <w:tcW w:type="dxa" w:w="35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Odds Ratio (OR)</w:t>
            </w:r>
          </w:p>
        </w:tc>
        <w:tc>
          <w:tcPr>
            <w:tcW w:type="dxa" w:w="58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0.4440</w:t>
            </w:r>
          </w:p>
        </w:tc>
      </w:tr>
      <w:tr>
        <w:tc>
          <w:tcPr>
            <w:tcW w:type="dxa" w:w="35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95% Confidence Interval for OR</w:t>
            </w:r>
          </w:p>
        </w:tc>
        <w:tc>
          <w:tcPr>
            <w:tcW w:type="dxa" w:w="586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Reported in model output</w:t>
            </w:r>
          </w:p>
        </w:tc>
      </w:tr>
      <w:tr>
        <w:tc>
          <w:tcPr>
            <w:tcW w:type="dxa" w:w="35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Interpretation</w:t>
            </w:r>
          </w:p>
        </w:tc>
        <w:tc>
          <w:tcPr>
            <w:tcW w:type="dxa" w:w="58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For every 1 SD increase in RT, the odds of a correct response decrease by 55.6%</w:t>
            </w:r>
          </w:p>
        </w:tc>
      </w:tr>
    </w:tbl>
    <w:p>
      <w:pPr>
        <w:spacing w:after="0" w:before="60"/>
      </w:pPr>
      <w:r>
        <w:t xml:space="preserve"/>
      </w:r>
    </w:p>
    <w:p>
      <w:pPr>
        <w:spacing w:after="80" w:before="80"/>
      </w:pPr>
      <w:r>
        <w:rPr>
          <w:rFonts w:ascii="Arial" w:cs="Arial" w:eastAsia="Arial" w:hAnsi="Arial"/>
          <w:color w:val="212121"/>
          <w:sz w:val="22"/>
          <w:szCs w:val="22"/>
        </w:rPr>
        <w:t xml:space="preserve">Note: The coefficient is negative, meaning that higher (slower) RT predicts lower probability of a correct response. The odds ratio of 0.4440 indicates this is a strong effect — being one standard deviation slower reduces the odds of accuracy by more than half.</w:t>
      </w:r>
    </w:p>
    <w:p>
      <w:pPr>
        <w:spacing w:after="0" w:before="80"/>
      </w:pPr>
      <w:r>
        <w:t xml:space="preserve"/>
      </w:r>
    </w:p>
    <w:p>
      <w:pPr>
        <w:pStyle w:val="Heading3"/>
        <w:spacing w:after="80" w:before="180"/>
      </w:pPr>
      <w:r>
        <w:rPr>
          <w:rFonts w:ascii="Arial" w:cs="Arial" w:eastAsia="Arial" w:hAnsi="Arial"/>
          <w:b/>
          <w:bCs/>
          <w:color w:val="2E75B6"/>
          <w:sz w:val="24"/>
          <w:szCs w:val="24"/>
        </w:rPr>
        <w:t xml:space="preserve">6.1.4  Summary Table — H1 Inferential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1400"/>
        <w:gridCol w:w="2160"/>
      </w:tblGrid>
      <w:tr>
        <w:tc>
          <w:tcPr>
            <w:tcW w:type="dxa" w:w="22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Test Method</w:t>
            </w:r>
          </w:p>
        </w:tc>
        <w:tc>
          <w:tcPr>
            <w:tcW w:type="dxa" w:w="20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16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c>
          <w:tcPr>
            <w:tcW w:type="dxa" w:w="14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P-value</w:t>
            </w:r>
          </w:p>
        </w:tc>
        <w:tc>
          <w:tcPr>
            <w:tcW w:type="dxa" w:w="216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Interpretation</w:t>
            </w:r>
          </w:p>
        </w:tc>
      </w:tr>
      <w:tr>
        <w:tc>
          <w:tcPr>
            <w:tcW w:type="dxa" w:w="22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Logistic Regression</w:t>
            </w:r>
          </w:p>
        </w:tc>
        <w:tc>
          <w:tcPr>
            <w:tcW w:type="dxa" w:w="20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RT_Z Coefficient</w:t>
            </w:r>
          </w:p>
        </w:tc>
        <w:tc>
          <w:tcPr>
            <w:tcW w:type="dxa" w:w="16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-0.8120</w:t>
            </w:r>
          </w:p>
        </w:tc>
        <w:tc>
          <w:tcPr>
            <w:tcW w:type="dxa" w:w="14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&lt; 0.0001</w:t>
            </w:r>
          </w:p>
        </w:tc>
        <w:tc>
          <w:tcPr>
            <w:tcW w:type="dxa" w:w="21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Significant — Faster = More Accurate</w:t>
            </w:r>
          </w:p>
        </w:tc>
      </w:tr>
      <w:tr>
        <w:tc>
          <w:tcPr>
            <w:tcW w:type="dxa" w:w="22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Spearman Correlation</w:t>
            </w:r>
          </w:p>
        </w:tc>
        <w:tc>
          <w:tcPr>
            <w:tcW w:type="dxa" w:w="20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Rho (ρ)</w:t>
            </w:r>
          </w:p>
        </w:tc>
        <w:tc>
          <w:tcPr>
            <w:tcW w:type="dxa" w:w="16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-0.3287</w:t>
            </w:r>
          </w:p>
        </w:tc>
        <w:tc>
          <w:tcPr>
            <w:tcW w:type="dxa" w:w="14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&lt; 0.0001</w:t>
            </w:r>
          </w:p>
        </w:tc>
        <w:tc>
          <w:tcPr>
            <w:tcW w:type="dxa" w:w="216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Significant Negative Correlation</w:t>
            </w:r>
          </w:p>
        </w:tc>
      </w:tr>
      <w:tr>
        <w:tc>
          <w:tcPr>
            <w:tcW w:type="dxa" w:w="22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Robustness Check</w:t>
            </w:r>
          </w:p>
        </w:tc>
        <w:tc>
          <w:tcPr>
            <w:tcW w:type="dxa" w:w="20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Avg. Individual Rho</w:t>
            </w:r>
          </w:p>
        </w:tc>
        <w:tc>
          <w:tcPr>
            <w:tcW w:type="dxa" w:w="16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-0.3577</w:t>
            </w:r>
          </w:p>
        </w:tc>
        <w:tc>
          <w:tcPr>
            <w:tcW w:type="dxa" w:w="14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w:t>
            </w:r>
          </w:p>
        </w:tc>
        <w:tc>
          <w:tcPr>
            <w:tcW w:type="dxa" w:w="21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Consistent across 112/114 participants</w:t>
            </w:r>
          </w:p>
        </w:tc>
      </w:tr>
      <w:tr>
        <w:tc>
          <w:tcPr>
            <w:tcW w:type="dxa" w:w="22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Mann-Whitney U</w:t>
            </w:r>
          </w:p>
        </w:tc>
        <w:tc>
          <w:tcPr>
            <w:tcW w:type="dxa" w:w="20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U-Statistic</w:t>
            </w:r>
          </w:p>
        </w:tc>
        <w:tc>
          <w:tcPr>
            <w:tcW w:type="dxa" w:w="16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36,282,022.50</w:t>
            </w:r>
          </w:p>
        </w:tc>
        <w:tc>
          <w:tcPr>
            <w:tcW w:type="dxa" w:w="14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7.1535e-285</w:t>
            </w:r>
          </w:p>
        </w:tc>
        <w:tc>
          <w:tcPr>
            <w:tcW w:type="dxa" w:w="216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Significant — Fast &gt; Slow accuracy</w:t>
            </w:r>
          </w:p>
        </w:tc>
      </w:tr>
    </w:tbl>
    <w:p>
      <w:pPr>
        <w:spacing w:after="0" w:before="120"/>
      </w:pPr>
      <w:r>
        <w:t xml:space="preserve"/>
      </w:r>
    </w:p>
    <w:p>
      <w:pPr>
        <w:pStyle w:val="Heading2"/>
        <w:pBdr>
          <w:bottom w:val="single" w:color="2E75B6" w:sz="4"/>
        </w:pBdr>
        <w:spacing w:after="120" w:before="240"/>
      </w:pPr>
      <w:r>
        <w:rPr>
          <w:rFonts w:ascii="Arial" w:cs="Arial" w:eastAsia="Arial" w:hAnsi="Arial"/>
          <w:b/>
          <w:bCs/>
          <w:color w:val="1B3A6B"/>
          <w:sz w:val="28"/>
          <w:szCs w:val="28"/>
        </w:rPr>
        <w:t xml:space="preserve">6.2  Hypothesis 2 — Block-Level Inferential Tests</w:t>
      </w:r>
    </w:p>
    <w:p>
      <w:pPr>
        <w:spacing w:after="0" w:before="60"/>
      </w:pPr>
      <w:r>
        <w:t xml:space="preserve"/>
      </w:r>
    </w:p>
    <w:p>
      <w:pPr>
        <w:pStyle w:val="Heading3"/>
        <w:spacing w:after="80" w:before="180"/>
      </w:pPr>
      <w:r>
        <w:rPr>
          <w:rFonts w:ascii="Arial" w:cs="Arial" w:eastAsia="Arial" w:hAnsi="Arial"/>
          <w:b/>
          <w:bCs/>
          <w:color w:val="2E75B6"/>
          <w:sz w:val="24"/>
          <w:szCs w:val="24"/>
        </w:rPr>
        <w:t xml:space="preserve">6.2.1  Friedman Test</w:t>
      </w:r>
    </w:p>
    <w:p>
      <w:pPr>
        <w:spacing w:after="80" w:before="80"/>
      </w:pPr>
      <w:r>
        <w:rPr>
          <w:rFonts w:ascii="Arial" w:cs="Arial" w:eastAsia="Arial" w:hAnsi="Arial"/>
          <w:color w:val="212121"/>
          <w:sz w:val="22"/>
          <w:szCs w:val="22"/>
        </w:rPr>
        <w:t xml:space="preserve">The Friedman test (non-parametric equivalent of repeated-measures ANOVA) was applied to test whether performance changed significantly across the three blocks. Only participants with complete data across all three blocks were included.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c>
          <w:tcPr>
            <w:tcW w:type="dxa" w:w="22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Variable</w:t>
            </w:r>
          </w:p>
        </w:tc>
        <w:tc>
          <w:tcPr>
            <w:tcW w:type="dxa" w:w="20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Friedman Statistic</w:t>
            </w:r>
          </w:p>
        </w:tc>
        <w:tc>
          <w:tcPr>
            <w:tcW w:type="dxa" w:w="18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P-value</w:t>
            </w:r>
          </w:p>
        </w:tc>
        <w:tc>
          <w:tcPr>
            <w:tcW w:type="dxa" w:w="336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Result</w:t>
            </w:r>
          </w:p>
        </w:tc>
      </w:tr>
      <w:tr>
        <w:tc>
          <w:tcPr>
            <w:tcW w:type="dxa" w:w="22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Reaction Time</w:t>
            </w:r>
          </w:p>
        </w:tc>
        <w:tc>
          <w:tcPr>
            <w:tcW w:type="dxa" w:w="20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Computed</w:t>
            </w:r>
          </w:p>
        </w:tc>
        <w:tc>
          <w:tcPr>
            <w:tcW w:type="dxa" w:w="18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0.0074</w:t>
            </w:r>
          </w:p>
        </w:tc>
        <w:tc>
          <w:tcPr>
            <w:tcW w:type="dxa" w:w="33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SIGNIFICANT — RT differs across blocks</w:t>
            </w:r>
          </w:p>
        </w:tc>
      </w:tr>
      <w:tr>
        <w:tc>
          <w:tcPr>
            <w:tcW w:type="dxa" w:w="22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Accuracy</w:t>
            </w:r>
          </w:p>
        </w:tc>
        <w:tc>
          <w:tcPr>
            <w:tcW w:type="dxa" w:w="20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Computed</w:t>
            </w:r>
          </w:p>
        </w:tc>
        <w:tc>
          <w:tcPr>
            <w:tcW w:type="dxa" w:w="18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&lt; 0.0001</w:t>
            </w:r>
          </w:p>
        </w:tc>
        <w:tc>
          <w:tcPr>
            <w:tcW w:type="dxa" w:w="336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EXTREMELY SIGNIFICANT — Accuracy differs across blocks</w:t>
            </w:r>
          </w:p>
        </w:tc>
      </w:tr>
    </w:tbl>
    <w:p>
      <w:pPr>
        <w:spacing w:after="0" w:before="80"/>
      </w:pPr>
      <w:r>
        <w:t xml:space="preserve"/>
      </w:r>
    </w:p>
    <w:p>
      <w:pPr>
        <w:pStyle w:val="Heading3"/>
        <w:spacing w:after="80" w:before="180"/>
      </w:pPr>
      <w:r>
        <w:rPr>
          <w:rFonts w:ascii="Arial" w:cs="Arial" w:eastAsia="Arial" w:hAnsi="Arial"/>
          <w:b/>
          <w:bCs/>
          <w:color w:val="2E75B6"/>
          <w:sz w:val="24"/>
          <w:szCs w:val="24"/>
        </w:rPr>
        <w:t xml:space="preserve">6.2.2  Post-Hoc Analysis — Wilcoxon Signed-Rank Tests with Bonferroni Correction</w:t>
      </w:r>
    </w:p>
    <w:p>
      <w:pPr>
        <w:spacing w:after="80" w:before="80"/>
      </w:pPr>
      <w:r>
        <w:rPr>
          <w:rFonts w:ascii="Arial" w:cs="Arial" w:eastAsia="Arial" w:hAnsi="Arial"/>
          <w:color w:val="212121"/>
          <w:sz w:val="22"/>
          <w:szCs w:val="22"/>
        </w:rPr>
        <w:t xml:space="preserve">Since the Friedman test was significant, pairwise Wilcoxon signed-rank tests were conducted between all block pairs. The Bonferroni correction was applied to control the Family-Wise Error Rate (FWER):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Parameter</w:t>
            </w:r>
          </w:p>
        </w:tc>
        <w:tc>
          <w:tcPr>
            <w:tcW w:type="dxa" w:w="586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r>
      <w:tr>
        <w:tc>
          <w:tcPr>
            <w:tcW w:type="dxa" w:w="35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Number of pairwise tests</w:t>
            </w:r>
          </w:p>
        </w:tc>
        <w:tc>
          <w:tcPr>
            <w:tcW w:type="dxa" w:w="58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3 (Block 1 vs 2; Block 2 vs 3; Block 1 vs 3)</w:t>
            </w:r>
          </w:p>
        </w:tc>
      </w:tr>
      <w:tr>
        <w:tc>
          <w:tcPr>
            <w:tcW w:type="dxa" w:w="35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Original alpha (α)</w:t>
            </w:r>
          </w:p>
        </w:tc>
        <w:tc>
          <w:tcPr>
            <w:tcW w:type="dxa" w:w="586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0.05</w:t>
            </w:r>
          </w:p>
        </w:tc>
      </w:tr>
      <w:tr>
        <w:tc>
          <w:tcPr>
            <w:tcW w:type="dxa" w:w="35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Bonferroni-corrected alpha (α*)</w:t>
            </w:r>
          </w:p>
        </w:tc>
        <w:tc>
          <w:tcPr>
            <w:tcW w:type="dxa" w:w="58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0.0167</w:t>
            </w:r>
          </w:p>
        </w:tc>
      </w:tr>
    </w:tbl>
    <w:p>
      <w:pPr>
        <w:spacing w:after="0" w:before="80"/>
      </w:pPr>
      <w:r>
        <w:t xml:space="preserve"/>
      </w:r>
    </w:p>
    <w:p>
      <w:pPr>
        <w:spacing w:after="80" w:before="80"/>
      </w:pPr>
      <w:r>
        <w:rPr>
          <w:rFonts w:ascii="Arial" w:cs="Arial" w:eastAsia="Arial" w:hAnsi="Arial"/>
          <w:b/>
          <w:bCs/>
          <w:color w:val="212121"/>
          <w:sz w:val="22"/>
          <w:szCs w:val="22"/>
        </w:rPr>
        <w:t xml:space="preserve">Reaction Time — Pairwise Results: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c>
          <w:tcPr>
            <w:tcW w:type="dxa" w:w="22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Comparison</w:t>
            </w:r>
          </w:p>
        </w:tc>
        <w:tc>
          <w:tcPr>
            <w:tcW w:type="dxa" w:w="18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P-value (Raw)</w:t>
            </w:r>
          </w:p>
        </w:tc>
        <w:tc>
          <w:tcPr>
            <w:tcW w:type="dxa" w:w="24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Significant at α* = 0.0167?</w:t>
            </w:r>
          </w:p>
        </w:tc>
        <w:tc>
          <w:tcPr>
            <w:tcW w:type="dxa" w:w="296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Interpretation</w:t>
            </w:r>
          </w:p>
        </w:tc>
      </w:tr>
      <w:tr>
        <w:tc>
          <w:tcPr>
            <w:tcW w:type="dxa" w:w="22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Block 1 vs Block 2</w:t>
            </w:r>
          </w:p>
        </w:tc>
        <w:tc>
          <w:tcPr>
            <w:tcW w:type="dxa" w:w="18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0.008</w:t>
            </w:r>
          </w:p>
        </w:tc>
        <w:tc>
          <w:tcPr>
            <w:tcW w:type="dxa" w:w="24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YES</w:t>
            </w:r>
          </w:p>
        </w:tc>
        <w:tc>
          <w:tcPr>
            <w:tcW w:type="dxa" w:w="29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RT significantly increased from Block 1 to Block 2</w:t>
            </w:r>
          </w:p>
        </w:tc>
      </w:tr>
      <w:tr>
        <w:tc>
          <w:tcPr>
            <w:tcW w:type="dxa" w:w="22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Block 2 vs Block 3</w:t>
            </w:r>
          </w:p>
        </w:tc>
        <w:tc>
          <w:tcPr>
            <w:tcW w:type="dxa" w:w="18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0.131</w:t>
            </w:r>
          </w:p>
        </w:tc>
        <w:tc>
          <w:tcPr>
            <w:tcW w:type="dxa" w:w="24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NO</w:t>
            </w:r>
          </w:p>
        </w:tc>
        <w:tc>
          <w:tcPr>
            <w:tcW w:type="dxa" w:w="296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RT did not change significantly from Block 2 to Block 3</w:t>
            </w:r>
          </w:p>
        </w:tc>
      </w:tr>
      <w:tr>
        <w:tc>
          <w:tcPr>
            <w:tcW w:type="dxa" w:w="22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Block 1 vs Block 3</w:t>
            </w:r>
          </w:p>
        </w:tc>
        <w:tc>
          <w:tcPr>
            <w:tcW w:type="dxa" w:w="18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0.002</w:t>
            </w:r>
          </w:p>
        </w:tc>
        <w:tc>
          <w:tcPr>
            <w:tcW w:type="dxa" w:w="24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YES</w:t>
            </w:r>
          </w:p>
        </w:tc>
        <w:tc>
          <w:tcPr>
            <w:tcW w:type="dxa" w:w="29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RT significantly higher in Block 3 than Block 1 overall</w:t>
            </w:r>
          </w:p>
        </w:tc>
      </w:tr>
    </w:tbl>
    <w:p>
      <w:pPr>
        <w:spacing w:after="0" w:before="80"/>
      </w:pPr>
      <w:r>
        <w:t xml:space="preserve"/>
      </w:r>
    </w:p>
    <w:p>
      <w:pPr>
        <w:spacing w:after="80" w:before="80"/>
      </w:pPr>
      <w:r>
        <w:rPr>
          <w:rFonts w:ascii="Arial" w:cs="Arial" w:eastAsia="Arial" w:hAnsi="Arial"/>
          <w:b/>
          <w:bCs/>
          <w:color w:val="212121"/>
          <w:sz w:val="22"/>
          <w:szCs w:val="22"/>
        </w:rPr>
        <w:t xml:space="preserve">Accuracy — Pairwise Results: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c>
          <w:tcPr>
            <w:tcW w:type="dxa" w:w="22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Comparison</w:t>
            </w:r>
          </w:p>
        </w:tc>
        <w:tc>
          <w:tcPr>
            <w:tcW w:type="dxa" w:w="18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P-value (Raw)</w:t>
            </w:r>
          </w:p>
        </w:tc>
        <w:tc>
          <w:tcPr>
            <w:tcW w:type="dxa" w:w="24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Significant at α* = 0.0167?</w:t>
            </w:r>
          </w:p>
        </w:tc>
        <w:tc>
          <w:tcPr>
            <w:tcW w:type="dxa" w:w="296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Interpretation</w:t>
            </w:r>
          </w:p>
        </w:tc>
      </w:tr>
      <w:tr>
        <w:tc>
          <w:tcPr>
            <w:tcW w:type="dxa" w:w="22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Block 1 vs Block 2</w:t>
            </w:r>
          </w:p>
        </w:tc>
        <w:tc>
          <w:tcPr>
            <w:tcW w:type="dxa" w:w="18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&lt; 0.001</w:t>
            </w:r>
          </w:p>
        </w:tc>
        <w:tc>
          <w:tcPr>
            <w:tcW w:type="dxa" w:w="24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YES</w:t>
            </w:r>
          </w:p>
        </w:tc>
        <w:tc>
          <w:tcPr>
            <w:tcW w:type="dxa" w:w="29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Accuracy dropped significantly from Block 1 to Block 2</w:t>
            </w:r>
          </w:p>
        </w:tc>
      </w:tr>
      <w:tr>
        <w:tc>
          <w:tcPr>
            <w:tcW w:type="dxa" w:w="22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Block 2 vs Block 3</w:t>
            </w:r>
          </w:p>
        </w:tc>
        <w:tc>
          <w:tcPr>
            <w:tcW w:type="dxa" w:w="18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&lt; 0.001</w:t>
            </w:r>
          </w:p>
        </w:tc>
        <w:tc>
          <w:tcPr>
            <w:tcW w:type="dxa" w:w="24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YES</w:t>
            </w:r>
          </w:p>
        </w:tc>
        <w:tc>
          <w:tcPr>
            <w:tcW w:type="dxa" w:w="296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Accuracy continued to drop significantly from Block 2 to Block 3</w:t>
            </w:r>
          </w:p>
        </w:tc>
      </w:tr>
      <w:tr>
        <w:tc>
          <w:tcPr>
            <w:tcW w:type="dxa" w:w="22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Block 1 vs Block 3</w:t>
            </w:r>
          </w:p>
        </w:tc>
        <w:tc>
          <w:tcPr>
            <w:tcW w:type="dxa" w:w="18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&lt; 0.001</w:t>
            </w:r>
          </w:p>
        </w:tc>
        <w:tc>
          <w:tcPr>
            <w:tcW w:type="dxa" w:w="24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YES</w:t>
            </w:r>
          </w:p>
        </w:tc>
        <w:tc>
          <w:tcPr>
            <w:tcW w:type="dxa" w:w="29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Accuracy was significantly lower in Block 3 vs Block 1</w:t>
            </w:r>
          </w:p>
        </w:tc>
      </w:tr>
    </w:tbl>
    <w:p>
      <w:pPr>
        <w:spacing w:after="0" w:before="80"/>
      </w:pPr>
      <w:r>
        <w:t xml:space="preserve"/>
      </w:r>
    </w:p>
    <w:tbl>
      <w:tblPr>
        <w:tblW w:type="dxa" w:w="9360"/>
        <w:tblBorders>
          <w:top w:val="single" w:color="2E75B6" w:sz="6"/>
          <w:left w:val="single" w:color="C55A11" w:sz="6"/>
          <w:bottom w:val="single" w:color="2E75B6" w:sz="6"/>
          <w:right w:val="single" w:color="2E75B6" w:sz="6"/>
          <w:insideH w:val="single" w:color="auto" w:sz="4"/>
          <w:insideV w:val="single" w:color="auto" w:sz="4"/>
        </w:tblBorders>
      </w:tblPr>
      <w:tblGrid>
        <w:gridCol w:w="9360"/>
      </w:tblGrid>
      <w:tr>
        <w:tc>
          <w:tcPr>
            <w:tcW w:type="dxa" w:w="9360"/>
            <w:tcBorders>
              <w:top w:val="single" w:color="C55A11" w:sz="8"/>
              <w:left w:val="single" w:color="C55A11" w:sz="16"/>
              <w:bottom w:val="single" w:color="B8CCE4" w:sz="4"/>
              <w:right w:val="nil" w:color="FFFFFF" w:sz="0"/>
            </w:tcBorders>
            <w:shd w:fill="EBF3FB"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Key Insight: The RT slowing primarily occurs in the transition from Block 1 to Block 2 and then stabilizes.</w:t>
            </w:r>
          </w:p>
          <w:p>
            <w:pPr>
              <w:spacing w:after="40" w:before="40"/>
            </w:pPr>
            <w:r>
              <w:rPr>
                <w:rFonts w:ascii="Arial" w:cs="Arial" w:eastAsia="Arial" w:hAnsi="Arial"/>
                <w:color w:val="212121"/>
                <w:sz w:val="21"/>
                <w:szCs w:val="21"/>
              </w:rPr>
              <w:t xml:space="preserve">By contrast, accuracy shows a progressive and continuous decline across all three blocks, never stabilizing.</w:t>
            </w:r>
          </w:p>
        </w:tc>
      </w:tr>
    </w:tbl>
    <w:p>
      <w:pPr>
        <w:spacing w:after="0" w:before="120"/>
      </w:pPr>
      <w:r>
        <w:t xml:space="preserve"/>
      </w:r>
    </w:p>
    <w:p>
      <w:pPr>
        <w:pStyle w:val="Heading1"/>
        <w:pBdr>
          <w:bottom w:val="single" w:color="C55A11" w:sz="6"/>
        </w:pBdr>
        <w:shd w:fill="1B3A6B" w:val="clear"/>
        <w:spacing w:after="160" w:before="300"/>
      </w:pPr>
      <w:r>
        <w:rPr>
          <w:rFonts w:ascii="Arial" w:cs="Arial" w:eastAsia="Arial" w:hAnsi="Arial"/>
          <w:b/>
          <w:bCs/>
          <w:color w:val="FFFFFF"/>
          <w:sz w:val="36"/>
          <w:szCs w:val="36"/>
        </w:rPr>
        <w:t xml:space="preserve">7. Effect Sizes</w:t>
      </w:r>
    </w:p>
    <w:p>
      <w:pPr>
        <w:spacing w:after="0" w:before="80"/>
      </w:pPr>
      <w:r>
        <w:t xml:space="preserve"/>
      </w:r>
    </w:p>
    <w:p>
      <w:pPr>
        <w:spacing w:after="80" w:before="80"/>
      </w:pPr>
      <w:r>
        <w:rPr>
          <w:rFonts w:ascii="Arial" w:cs="Arial" w:eastAsia="Arial" w:hAnsi="Arial"/>
          <w:color w:val="212121"/>
          <w:sz w:val="22"/>
          <w:szCs w:val="22"/>
        </w:rPr>
        <w:t xml:space="preserve">To quantify the practical magnitude of the observed effects, appropriate effect size metrics were computed for each hypothesis.</w:t>
      </w:r>
    </w:p>
    <w:p>
      <w:pPr>
        <w:spacing w:after="0" w:before="60"/>
      </w:pPr>
      <w:r>
        <w:t xml:space="preserve"/>
      </w:r>
    </w:p>
    <w:p>
      <w:pPr>
        <w:pStyle w:val="Heading2"/>
        <w:pBdr>
          <w:bottom w:val="single" w:color="2E75B6" w:sz="4"/>
        </w:pBdr>
        <w:spacing w:after="120" w:before="240"/>
      </w:pPr>
      <w:r>
        <w:rPr>
          <w:rFonts w:ascii="Arial" w:cs="Arial" w:eastAsia="Arial" w:hAnsi="Arial"/>
          <w:b/>
          <w:bCs/>
          <w:color w:val="1B3A6B"/>
          <w:sz w:val="28"/>
          <w:szCs w:val="28"/>
        </w:rPr>
        <w:t xml:space="preserve">7.1  Hypothesis 1 — Odds Ratio (Logistic Regression)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Parameter</w:t>
            </w:r>
          </w:p>
        </w:tc>
        <w:tc>
          <w:tcPr>
            <w:tcW w:type="dxa" w:w="18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c>
          <w:tcPr>
            <w:tcW w:type="dxa" w:w="456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Interpretation</w:t>
            </w:r>
          </w:p>
        </w:tc>
      </w:tr>
      <w:tr>
        <w:tc>
          <w:tcPr>
            <w:tcW w:type="dxa" w:w="30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Logistic Regression Coefficient (B)</w:t>
            </w:r>
          </w:p>
        </w:tc>
        <w:tc>
          <w:tcPr>
            <w:tcW w:type="dxa" w:w="18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-0.8120</w:t>
            </w:r>
          </w:p>
        </w:tc>
        <w:tc>
          <w:tcPr>
            <w:tcW w:type="dxa" w:w="45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Each 1-SD increase in RT reduces log-odds of accuracy</w:t>
            </w:r>
          </w:p>
        </w:tc>
      </w:tr>
      <w:tr>
        <w:tc>
          <w:tcPr>
            <w:tcW w:type="dxa" w:w="30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Odds Ratio (OR)</w:t>
            </w:r>
          </w:p>
        </w:tc>
        <w:tc>
          <w:tcPr>
            <w:tcW w:type="dxa" w:w="18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0.4440</w:t>
            </w:r>
          </w:p>
        </w:tc>
        <w:tc>
          <w:tcPr>
            <w:tcW w:type="dxa" w:w="456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Each 1-SD increase in RT multiplies odds of accuracy by 0.44</w:t>
            </w:r>
          </w:p>
        </w:tc>
      </w:tr>
      <w:tr>
        <w:tc>
          <w:tcPr>
            <w:tcW w:type="dxa" w:w="30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Effect Strength</w:t>
            </w:r>
          </w:p>
        </w:tc>
        <w:tc>
          <w:tcPr>
            <w:tcW w:type="dxa" w:w="18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Strong</w:t>
            </w:r>
          </w:p>
        </w:tc>
        <w:tc>
          <w:tcPr>
            <w:tcW w:type="dxa" w:w="45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 55.6% reduction in odds per SD of RT increase</w:t>
            </w:r>
          </w:p>
        </w:tc>
      </w:tr>
    </w:tbl>
    <w:p>
      <w:pPr>
        <w:spacing w:after="0" w:before="80"/>
      </w:pPr>
      <w:r>
        <w:t xml:space="preserve"/>
      </w:r>
    </w:p>
    <w:p>
      <w:pPr>
        <w:pStyle w:val="Heading2"/>
        <w:pBdr>
          <w:bottom w:val="single" w:color="2E75B6" w:sz="4"/>
        </w:pBdr>
        <w:spacing w:after="120" w:before="240"/>
      </w:pPr>
      <w:r>
        <w:rPr>
          <w:rFonts w:ascii="Arial" w:cs="Arial" w:eastAsia="Arial" w:hAnsi="Arial"/>
          <w:b/>
          <w:bCs/>
          <w:color w:val="1B3A6B"/>
          <w:sz w:val="28"/>
          <w:szCs w:val="28"/>
        </w:rPr>
        <w:t xml:space="preserve">7.2  Hypothesis 2 — Kendall's W (Coefficient of Concordance)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800"/>
        <w:gridCol w:w="1600"/>
        <w:gridCol w:w="1960"/>
      </w:tblGrid>
      <w:tr>
        <w:tc>
          <w:tcPr>
            <w:tcW w:type="dxa" w:w="18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Variable</w:t>
            </w:r>
          </w:p>
        </w:tc>
        <w:tc>
          <w:tcPr>
            <w:tcW w:type="dxa" w:w="16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Friedman Chi²</w:t>
            </w:r>
          </w:p>
        </w:tc>
        <w:tc>
          <w:tcPr>
            <w:tcW w:type="dxa" w:w="16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w:t>
            </w:r>
          </w:p>
        </w:tc>
        <w:tc>
          <w:tcPr>
            <w:tcW w:type="dxa" w:w="8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w:t>
            </w:r>
          </w:p>
        </w:tc>
        <w:tc>
          <w:tcPr>
            <w:tcW w:type="dxa" w:w="16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Kendall's W</w:t>
            </w:r>
          </w:p>
        </w:tc>
        <w:tc>
          <w:tcPr>
            <w:tcW w:type="dxa" w:w="196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Effect Strength</w:t>
            </w:r>
          </w:p>
        </w:tc>
      </w:tr>
      <w:tr>
        <w:tc>
          <w:tcPr>
            <w:tcW w:type="dxa" w:w="18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Reaction Time</w:t>
            </w:r>
          </w:p>
        </w:tc>
        <w:tc>
          <w:tcPr>
            <w:tcW w:type="dxa" w:w="16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Computed</w:t>
            </w:r>
          </w:p>
        </w:tc>
        <w:tc>
          <w:tcPr>
            <w:tcW w:type="dxa" w:w="16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Complete sample</w:t>
            </w:r>
          </w:p>
        </w:tc>
        <w:tc>
          <w:tcPr>
            <w:tcW w:type="dxa" w:w="8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3</w:t>
            </w:r>
          </w:p>
        </w:tc>
        <w:tc>
          <w:tcPr>
            <w:tcW w:type="dxa" w:w="16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0.0430</w:t>
            </w:r>
          </w:p>
        </w:tc>
        <w:tc>
          <w:tcPr>
            <w:tcW w:type="dxa" w:w="19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Negligible</w:t>
            </w:r>
          </w:p>
        </w:tc>
      </w:tr>
      <w:tr>
        <w:tc>
          <w:tcPr>
            <w:tcW w:type="dxa" w:w="18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Accuracy</w:t>
            </w:r>
          </w:p>
        </w:tc>
        <w:tc>
          <w:tcPr>
            <w:tcW w:type="dxa" w:w="16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Computed</w:t>
            </w:r>
          </w:p>
        </w:tc>
        <w:tc>
          <w:tcPr>
            <w:tcW w:type="dxa" w:w="16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Complete sample</w:t>
            </w:r>
          </w:p>
        </w:tc>
        <w:tc>
          <w:tcPr>
            <w:tcW w:type="dxa" w:w="8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3</w:t>
            </w:r>
          </w:p>
        </w:tc>
        <w:tc>
          <w:tcPr>
            <w:tcW w:type="dxa" w:w="16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0.3881</w:t>
            </w:r>
          </w:p>
        </w:tc>
        <w:tc>
          <w:tcPr>
            <w:tcW w:type="dxa" w:w="196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Moderate</w:t>
            </w:r>
          </w:p>
        </w:tc>
      </w:tr>
    </w:tbl>
    <w:p>
      <w:pPr>
        <w:spacing w:after="0" w:before="80"/>
      </w:pPr>
      <w:r>
        <w:t xml:space="preserve"/>
      </w:r>
    </w:p>
    <w:p>
      <w:pPr>
        <w:spacing w:after="80" w:before="80"/>
      </w:pPr>
      <w:r>
        <w:rPr>
          <w:rFonts w:ascii="Arial" w:cs="Arial" w:eastAsia="Arial" w:hAnsi="Arial"/>
          <w:color w:val="212121"/>
          <w:sz w:val="22"/>
          <w:szCs w:val="22"/>
        </w:rPr>
        <w:t xml:space="preserve">The contrast between the Kendall's W values for RT (0.04 — negligible) and Accuracy (0.39 — moderate) is highly informative: although block effects on RT are statistically significant, the actual magnitude of the effect is very small. Accuracy, by contrast, shows a meaningfully strong block effect.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1600"/>
        <w:gridCol w:w="1560"/>
      </w:tblGrid>
      <w:tr>
        <w:tc>
          <w:tcPr>
            <w:tcW w:type="dxa" w:w="20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Hypothesis</w:t>
            </w:r>
          </w:p>
        </w:tc>
        <w:tc>
          <w:tcPr>
            <w:tcW w:type="dxa" w:w="22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Test</w:t>
            </w:r>
          </w:p>
        </w:tc>
        <w:tc>
          <w:tcPr>
            <w:tcW w:type="dxa" w:w="20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Metric</w:t>
            </w:r>
          </w:p>
        </w:tc>
        <w:tc>
          <w:tcPr>
            <w:tcW w:type="dxa" w:w="16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c>
          <w:tcPr>
            <w:tcW w:type="dxa" w:w="156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Effect Strength</w:t>
            </w:r>
          </w:p>
        </w:tc>
      </w:tr>
      <w:tr>
        <w:tc>
          <w:tcPr>
            <w:tcW w:type="dxa" w:w="20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H1 (Trial-level)</w:t>
            </w:r>
          </w:p>
        </w:tc>
        <w:tc>
          <w:tcPr>
            <w:tcW w:type="dxa" w:w="22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Logistic Regression</w:t>
            </w:r>
          </w:p>
        </w:tc>
        <w:tc>
          <w:tcPr>
            <w:tcW w:type="dxa" w:w="20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Odds Ratio (OR)</w:t>
            </w:r>
          </w:p>
        </w:tc>
        <w:tc>
          <w:tcPr>
            <w:tcW w:type="dxa" w:w="16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0.4440</w:t>
            </w:r>
          </w:p>
        </w:tc>
        <w:tc>
          <w:tcPr>
            <w:tcW w:type="dxa" w:w="15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Strong</w:t>
            </w:r>
          </w:p>
        </w:tc>
      </w:tr>
      <w:tr>
        <w:tc>
          <w:tcPr>
            <w:tcW w:type="dxa" w:w="20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H2 (Block-level) — RT</w:t>
            </w:r>
          </w:p>
        </w:tc>
        <w:tc>
          <w:tcPr>
            <w:tcW w:type="dxa" w:w="22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Friedman</w:t>
            </w:r>
          </w:p>
        </w:tc>
        <w:tc>
          <w:tcPr>
            <w:tcW w:type="dxa" w:w="20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Kendall's W</w:t>
            </w:r>
          </w:p>
        </w:tc>
        <w:tc>
          <w:tcPr>
            <w:tcW w:type="dxa" w:w="16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0.0430</w:t>
            </w:r>
          </w:p>
        </w:tc>
        <w:tc>
          <w:tcPr>
            <w:tcW w:type="dxa" w:w="156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Negligible</w:t>
            </w:r>
          </w:p>
        </w:tc>
      </w:tr>
      <w:tr>
        <w:tc>
          <w:tcPr>
            <w:tcW w:type="dxa" w:w="20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H2 (Block-level) — Accuracy</w:t>
            </w:r>
          </w:p>
        </w:tc>
        <w:tc>
          <w:tcPr>
            <w:tcW w:type="dxa" w:w="22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Friedman</w:t>
            </w:r>
          </w:p>
        </w:tc>
        <w:tc>
          <w:tcPr>
            <w:tcW w:type="dxa" w:w="20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Kendall's W</w:t>
            </w:r>
          </w:p>
        </w:tc>
        <w:tc>
          <w:tcPr>
            <w:tcW w:type="dxa" w:w="16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0.3881</w:t>
            </w:r>
          </w:p>
        </w:tc>
        <w:tc>
          <w:tcPr>
            <w:tcW w:type="dxa" w:w="15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Moderate</w:t>
            </w:r>
          </w:p>
        </w:tc>
      </w:tr>
    </w:tbl>
    <w:p>
      <w:pPr>
        <w:spacing w:after="0" w:before="120"/>
      </w:pPr>
      <w:r>
        <w:t xml:space="preserve"/>
      </w:r>
    </w:p>
    <w:p>
      <w:pPr>
        <w:pStyle w:val="Heading1"/>
        <w:pBdr>
          <w:bottom w:val="single" w:color="C55A11" w:sz="6"/>
        </w:pBdr>
        <w:shd w:fill="1B3A6B" w:val="clear"/>
        <w:spacing w:after="160" w:before="300"/>
      </w:pPr>
      <w:r>
        <w:rPr>
          <w:rFonts w:ascii="Arial" w:cs="Arial" w:eastAsia="Arial" w:hAnsi="Arial"/>
          <w:b/>
          <w:bCs/>
          <w:color w:val="FFFFFF"/>
          <w:sz w:val="36"/>
          <w:szCs w:val="36"/>
        </w:rPr>
        <w:t xml:space="preserve">8. Conclusions</w:t>
      </w:r>
    </w:p>
    <w:p>
      <w:pPr>
        <w:spacing w:after="0" w:before="80"/>
      </w:pPr>
      <w:r>
        <w:t xml:space="preserve"/>
      </w:r>
    </w:p>
    <w:p>
      <w:pPr>
        <w:pStyle w:val="Heading2"/>
        <w:pBdr>
          <w:bottom w:val="single" w:color="2E75B6" w:sz="4"/>
        </w:pBdr>
        <w:spacing w:after="120" w:before="240"/>
      </w:pPr>
      <w:r>
        <w:rPr>
          <w:rFonts w:ascii="Arial" w:cs="Arial" w:eastAsia="Arial" w:hAnsi="Arial"/>
          <w:b/>
          <w:bCs/>
          <w:color w:val="1B3A6B"/>
          <w:sz w:val="28"/>
          <w:szCs w:val="28"/>
        </w:rPr>
        <w:t xml:space="preserve">8.1  Hypothesis 1 — Reaction Time and Accuracy (Trial Level)</w:t>
      </w:r>
    </w:p>
    <w:p>
      <w:pPr>
        <w:spacing w:after="0" w:before="60"/>
      </w:pPr>
      <w:r>
        <w:t xml:space="preserve"/>
      </w:r>
    </w:p>
    <w:tbl>
      <w:tblPr>
        <w:tblW w:type="dxa" w:w="9360"/>
        <w:tblBorders>
          <w:top w:val="single" w:color="2E75B6" w:sz="6"/>
          <w:left w:val="single" w:color="C55A11" w:sz="6"/>
          <w:bottom w:val="single" w:color="2E75B6" w:sz="6"/>
          <w:right w:val="single" w:color="2E75B6" w:sz="6"/>
          <w:insideH w:val="single" w:color="auto" w:sz="4"/>
          <w:insideV w:val="single" w:color="auto" w:sz="4"/>
        </w:tblBorders>
      </w:tblPr>
      <w:tblGrid>
        <w:gridCol w:w="9360"/>
      </w:tblGrid>
      <w:tr>
        <w:tc>
          <w:tcPr>
            <w:tcW w:type="dxa" w:w="9360"/>
            <w:tcBorders>
              <w:top w:val="single" w:color="C55A11" w:sz="8"/>
              <w:left w:val="single" w:color="C55A11" w:sz="16"/>
              <w:bottom w:val="single" w:color="B8CCE4" w:sz="4"/>
              <w:right w:val="nil" w:color="FFFFFF" w:sz="0"/>
            </w:tcBorders>
            <w:shd w:fill="EBF3FB"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Hypothesis Supported: There IS a significant negative association between reaction time and recognition accuracy at the trial level.</w:t>
            </w:r>
          </w:p>
          <w:p>
            <w:pPr>
              <w:spacing w:after="40" w:before="40"/>
            </w:pPr>
            <w:r>
              <w:rPr>
                <w:rFonts w:ascii="Arial" w:cs="Arial" w:eastAsia="Arial" w:hAnsi="Arial"/>
                <w:color w:val="212121"/>
                <w:sz w:val="21"/>
                <w:szCs w:val="21"/>
              </w:rPr>
              <w:t xml:space="preserve"/>
            </w:r>
          </w:p>
          <w:p>
            <w:pPr>
              <w:spacing w:after="40" w:before="40"/>
            </w:pPr>
            <w:r>
              <w:rPr>
                <w:rFonts w:ascii="Arial" w:cs="Arial" w:eastAsia="Arial" w:hAnsi="Arial"/>
                <w:color w:val="212121"/>
                <w:sz w:val="21"/>
                <w:szCs w:val="21"/>
              </w:rPr>
              <w:t xml:space="preserve">All three inferential tests converged on the same conclusion:</w:t>
            </w:r>
          </w:p>
          <w:p>
            <w:pPr>
              <w:spacing w:after="40" w:before="40"/>
            </w:pPr>
            <w:r>
              <w:rPr>
                <w:rFonts w:ascii="Arial" w:cs="Arial" w:eastAsia="Arial" w:hAnsi="Arial"/>
                <w:color w:val="212121"/>
                <w:sz w:val="21"/>
                <w:szCs w:val="21"/>
              </w:rPr>
              <w:t xml:space="preserve">  •  Mann-Whitney U: p = 7.15e-285 — Fast trials (85.50%) are dramatically more accurate than slow trials (59.36%)</w:t>
            </w:r>
          </w:p>
          <w:p>
            <w:pPr>
              <w:spacing w:after="40" w:before="40"/>
            </w:pPr>
            <w:r>
              <w:rPr>
                <w:rFonts w:ascii="Arial" w:cs="Arial" w:eastAsia="Arial" w:hAnsi="Arial"/>
                <w:color w:val="212121"/>
                <w:sz w:val="21"/>
                <w:szCs w:val="21"/>
              </w:rPr>
              <w:t xml:space="preserve">  •  Spearman Correlation: ρ = -0.33, p &lt; 0.0001 — confirmed in 112/114 participants</w:t>
            </w:r>
          </w:p>
          <w:p>
            <w:pPr>
              <w:spacing w:after="40" w:before="40"/>
            </w:pPr>
            <w:r>
              <w:rPr>
                <w:rFonts w:ascii="Arial" w:cs="Arial" w:eastAsia="Arial" w:hAnsi="Arial"/>
                <w:color w:val="212121"/>
                <w:sz w:val="21"/>
                <w:szCs w:val="21"/>
              </w:rPr>
              <w:t xml:space="preserve">  •  Logistic Regression: OR = 0.44 — each SD increase in RT reduces the odds of accuracy by 55.6%</w:t>
            </w:r>
          </w:p>
        </w:tc>
      </w:tr>
    </w:tbl>
    <w:p>
      <w:pPr>
        <w:spacing w:after="0" w:before="80"/>
      </w:pPr>
      <w:r>
        <w:t xml:space="preserve"/>
      </w:r>
    </w:p>
    <w:p>
      <w:pPr>
        <w:spacing w:after="80" w:before="80"/>
      </w:pPr>
      <w:r>
        <w:rPr>
          <w:rFonts w:ascii="Arial" w:cs="Arial" w:eastAsia="Arial" w:hAnsi="Arial"/>
          <w:color w:val="212121"/>
          <w:sz w:val="22"/>
          <w:szCs w:val="22"/>
        </w:rPr>
        <w:t xml:space="preserve">Importantly, these findings do not represent the classic </w:t>
      </w:r>
      <w:r>
        <w:rPr>
          <w:rFonts w:ascii="Arial" w:cs="Arial" w:eastAsia="Arial" w:hAnsi="Arial"/>
          <w:b/>
          <w:bCs/>
          <w:color w:val="212121"/>
          <w:sz w:val="22"/>
          <w:szCs w:val="22"/>
        </w:rPr>
        <w:t xml:space="preserve">speed-accuracy tradeoff</w:t>
      </w:r>
      <w:r>
        <w:rPr>
          <w:rFonts w:ascii="Arial" w:cs="Arial" w:eastAsia="Arial" w:hAnsi="Arial"/>
          <w:color w:val="212121"/>
          <w:sz w:val="22"/>
          <w:szCs w:val="22"/>
        </w:rPr>
        <w:t xml:space="preserve"> (where faster responses are typically less accurate because less deliberation time is taken). Instead, they reveal what may be called a </w:t>
      </w:r>
      <w:r>
        <w:rPr>
          <w:rFonts w:ascii="Arial" w:cs="Arial" w:eastAsia="Arial" w:hAnsi="Arial"/>
          <w:b/>
          <w:bCs/>
          <w:color w:val="212121"/>
          <w:sz w:val="22"/>
          <w:szCs w:val="22"/>
        </w:rPr>
        <w:t xml:space="preserve">cognitive sharpness</w:t>
      </w:r>
      <w:r>
        <w:rPr>
          <w:rFonts w:ascii="Arial" w:cs="Arial" w:eastAsia="Arial" w:hAnsi="Arial"/>
          <w:color w:val="212121"/>
          <w:sz w:val="22"/>
          <w:szCs w:val="22"/>
        </w:rPr>
        <w:t xml:space="preserve"> effect — participants who were quicker to respond were also more likely to be correct, suggesting that decisiveness and processing efficiency co-occur in this recognition task.</w:t>
      </w:r>
    </w:p>
    <w:p>
      <w:pPr>
        <w:spacing w:after="0" w:before="80"/>
      </w:pPr>
      <w:r>
        <w:t xml:space="preserve"/>
      </w:r>
    </w:p>
    <w:p>
      <w:pPr>
        <w:pStyle w:val="Heading2"/>
        <w:pBdr>
          <w:bottom w:val="single" w:color="2E75B6" w:sz="4"/>
        </w:pBdr>
        <w:spacing w:after="120" w:before="240"/>
      </w:pPr>
      <w:r>
        <w:rPr>
          <w:rFonts w:ascii="Arial" w:cs="Arial" w:eastAsia="Arial" w:hAnsi="Arial"/>
          <w:b/>
          <w:bCs/>
          <w:color w:val="1B3A6B"/>
          <w:sz w:val="28"/>
          <w:szCs w:val="28"/>
        </w:rPr>
        <w:t xml:space="preserve">8.2  Hypothesis 2 — Block Progression and Cognitive Fatigue</w:t>
      </w:r>
    </w:p>
    <w:p>
      <w:pPr>
        <w:spacing w:after="0" w:before="60"/>
      </w:pPr>
      <w:r>
        <w:t xml:space="preserve"/>
      </w:r>
    </w:p>
    <w:tbl>
      <w:tblPr>
        <w:tblW w:type="dxa" w:w="9360"/>
        <w:tblBorders>
          <w:top w:val="single" w:color="2E75B6" w:sz="6"/>
          <w:left w:val="single" w:color="C55A11" w:sz="6"/>
          <w:bottom w:val="single" w:color="2E75B6" w:sz="6"/>
          <w:right w:val="single" w:color="2E75B6" w:sz="6"/>
          <w:insideH w:val="single" w:color="auto" w:sz="4"/>
          <w:insideV w:val="single" w:color="auto" w:sz="4"/>
        </w:tblBorders>
      </w:tblPr>
      <w:tblGrid>
        <w:gridCol w:w="9360"/>
      </w:tblGrid>
      <w:tr>
        <w:tc>
          <w:tcPr>
            <w:tcW w:type="dxa" w:w="9360"/>
            <w:tcBorders>
              <w:top w:val="single" w:color="C55A11" w:sz="8"/>
              <w:left w:val="single" w:color="C55A11" w:sz="16"/>
              <w:bottom w:val="single" w:color="B8CCE4" w:sz="4"/>
              <w:right w:val="nil" w:color="FFFFFF" w:sz="0"/>
            </w:tcBorders>
            <w:shd w:fill="EBF3FB"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Hypothesis Partially Supported: Block progression does significantly affect performance, but the nature of the effect differs between RT and Accuracy.</w:t>
            </w:r>
          </w:p>
          <w:p>
            <w:pPr>
              <w:spacing w:after="40" w:before="40"/>
            </w:pPr>
            <w:r>
              <w:rPr>
                <w:rFonts w:ascii="Arial" w:cs="Arial" w:eastAsia="Arial" w:hAnsi="Arial"/>
                <w:color w:val="212121"/>
                <w:sz w:val="21"/>
                <w:szCs w:val="21"/>
              </w:rPr>
              <w:t xml:space="preserve"/>
            </w:r>
          </w:p>
          <w:p>
            <w:pPr>
              <w:spacing w:after="40" w:before="40"/>
            </w:pPr>
            <w:r>
              <w:rPr>
                <w:rFonts w:ascii="Arial" w:cs="Arial" w:eastAsia="Arial" w:hAnsi="Arial"/>
                <w:color w:val="212121"/>
                <w:sz w:val="21"/>
                <w:szCs w:val="21"/>
              </w:rPr>
              <w:t xml:space="preserve">  •  Reaction Time: Significant overall (Friedman p = 0.0074), but the effect is NEGLIGIBLE in magnitude (Kendall's W = 0.04).</w:t>
            </w:r>
          </w:p>
          <w:p>
            <w:pPr>
              <w:spacing w:after="40" w:before="40"/>
            </w:pPr>
            <w:r>
              <w:rPr>
                <w:rFonts w:ascii="Arial" w:cs="Arial" w:eastAsia="Arial" w:hAnsi="Arial"/>
                <w:color w:val="212121"/>
                <w:sz w:val="21"/>
                <w:szCs w:val="21"/>
              </w:rPr>
              <w:t xml:space="preserve">     RT increases significantly from Block 1 to Block 2, then stabilizes (Block 2 vs 3: p = 0.131, not significant).</w:t>
            </w:r>
          </w:p>
          <w:p>
            <w:pPr>
              <w:spacing w:after="40" w:before="40"/>
            </w:pPr>
            <w:r>
              <w:rPr>
                <w:rFonts w:ascii="Arial" w:cs="Arial" w:eastAsia="Arial" w:hAnsi="Arial"/>
                <w:color w:val="212121"/>
                <w:sz w:val="21"/>
                <w:szCs w:val="21"/>
              </w:rPr>
              <w:t xml:space="preserve"/>
            </w:r>
          </w:p>
          <w:p>
            <w:pPr>
              <w:spacing w:after="40" w:before="40"/>
            </w:pPr>
            <w:r>
              <w:rPr>
                <w:rFonts w:ascii="Arial" w:cs="Arial" w:eastAsia="Arial" w:hAnsi="Arial"/>
                <w:color w:val="212121"/>
                <w:sz w:val="21"/>
                <w:szCs w:val="21"/>
              </w:rPr>
              <w:t xml:space="preserve">  •  Accuracy: Extremely significant (Friedman p &lt; 0.0001) with MODERATE effect size (Kendall's W = 0.39).</w:t>
            </w:r>
          </w:p>
          <w:p>
            <w:pPr>
              <w:spacing w:after="40" w:before="40"/>
            </w:pPr>
            <w:r>
              <w:rPr>
                <w:rFonts w:ascii="Arial" w:cs="Arial" w:eastAsia="Arial" w:hAnsi="Arial"/>
                <w:color w:val="212121"/>
                <w:sz w:val="21"/>
                <w:szCs w:val="21"/>
              </w:rPr>
              <w:t xml:space="preserve">     Accuracy declines significantly at every step: Block 1→2, Block 2→3, and Block 1→3 (all p &lt; 0.001).</w:t>
            </w:r>
          </w:p>
        </w:tc>
      </w:tr>
    </w:tbl>
    <w:p>
      <w:pPr>
        <w:spacing w:after="0" w:before="80"/>
      </w:pPr>
      <w:r>
        <w:t xml:space="preserve"/>
      </w:r>
    </w:p>
    <w:p>
      <w:pPr>
        <w:spacing w:after="80" w:before="80"/>
      </w:pPr>
      <w:r>
        <w:rPr>
          <w:rFonts w:ascii="Arial" w:cs="Arial" w:eastAsia="Arial" w:hAnsi="Arial"/>
          <w:color w:val="212121"/>
          <w:sz w:val="22"/>
          <w:szCs w:val="22"/>
        </w:rPr>
        <w:t xml:space="preserve">The primary finding for H2 is that </w:t>
      </w:r>
      <w:r>
        <w:rPr>
          <w:rFonts w:ascii="Arial" w:cs="Arial" w:eastAsia="Arial" w:hAnsi="Arial"/>
          <w:b/>
          <w:bCs/>
          <w:color w:val="212121"/>
          <w:sz w:val="22"/>
          <w:szCs w:val="22"/>
        </w:rPr>
        <w:t xml:space="preserve">cognitive fatigue predominantly impacts the quality of performance (accuracy) rather than its speed (RT)</w:t>
      </w:r>
      <w:r>
        <w:rPr>
          <w:rFonts w:ascii="Arial" w:cs="Arial" w:eastAsia="Arial" w:hAnsi="Arial"/>
          <w:color w:val="212121"/>
          <w:sz w:val="22"/>
          <w:szCs w:val="22"/>
        </w:rPr>
        <w:t xml:space="preserve">. While participants respond slightly more slowly in later blocks, this slowing is modest and plateaus after Block 2. However, their ability to correctly recognize stimuli continues to degrade progressively and substantially across all three blocks. This pattern suggests that the cognitive resources underpinning recognition memory are more susceptible to fatigue than simple response generation speed.</w:t>
      </w:r>
    </w:p>
    <w:p>
      <w:pPr>
        <w:spacing w:after="0" w:before="120"/>
      </w:pPr>
      <w:r>
        <w:t xml:space="preserve"/>
      </w:r>
    </w:p>
    <w:p>
      <w:pPr>
        <w:pStyle w:val="Heading1"/>
        <w:pBdr>
          <w:bottom w:val="single" w:color="C55A11" w:sz="6"/>
        </w:pBdr>
        <w:shd w:fill="1B3A6B" w:val="clear"/>
        <w:spacing w:after="160" w:before="300"/>
      </w:pPr>
      <w:r>
        <w:rPr>
          <w:rFonts w:ascii="Arial" w:cs="Arial" w:eastAsia="Arial" w:hAnsi="Arial"/>
          <w:b/>
          <w:bCs/>
          <w:color w:val="FFFFFF"/>
          <w:sz w:val="36"/>
          <w:szCs w:val="36"/>
        </w:rPr>
        <w:t xml:space="preserve">9. Limitations &amp; Methodological Notes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Limitation / Note</w:t>
            </w:r>
          </w:p>
        </w:tc>
        <w:tc>
          <w:tcPr>
            <w:tcW w:type="dxa" w:w="656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w:t>
            </w:r>
          </w:p>
        </w:tc>
      </w:tr>
      <w:tr>
        <w:tc>
          <w:tcPr>
            <w:tcW w:type="dxa" w:w="28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Non-parametric tests chosen</w:t>
            </w:r>
          </w:p>
        </w:tc>
        <w:tc>
          <w:tcPr>
            <w:tcW w:type="dxa" w:w="65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All variables violated the normality assumption (Shapiro-Wilk). Non-parametric tests are appropriate but generally less statistically powerful than parametric equivalents.</w:t>
            </w:r>
          </w:p>
        </w:tc>
      </w:tr>
      <w:tr>
        <w:tc>
          <w:tcPr>
            <w:tcW w:type="dxa" w:w="28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Logistic regression assumption</w:t>
            </w:r>
          </w:p>
        </w:tc>
        <w:tc>
          <w:tcPr>
            <w:tcW w:type="dxa" w:w="656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Logistic regression was applied despite correlated observations (multiple trials per participant). A mixed-effects logistic model would be more rigorous.</w:t>
            </w:r>
          </w:p>
        </w:tc>
      </w:tr>
      <w:tr>
        <w:tc>
          <w:tcPr>
            <w:tcW w:type="dxa" w:w="28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RT distribution skew</w:t>
            </w:r>
          </w:p>
        </w:tc>
        <w:tc>
          <w:tcPr>
            <w:tcW w:type="dxa" w:w="65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Reaction time data are inherently right-skewed. Median statistics were also computed alongside means throughout, which is best practice for skewed RT data.</w:t>
            </w:r>
          </w:p>
        </w:tc>
      </w:tr>
      <w:tr>
        <w:tc>
          <w:tcPr>
            <w:tcW w:type="dxa" w:w="28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Effect of outliers</w:t>
            </w:r>
          </w:p>
        </w:tc>
        <w:tc>
          <w:tcPr>
            <w:tcW w:type="dxa" w:w="656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No explicit RT outlier removal was described (e.g., removing RT &lt; 200 ms or extreme high values), which could inflate variance.</w:t>
            </w:r>
          </w:p>
        </w:tc>
      </w:tr>
      <w:tr>
        <w:tc>
          <w:tcPr>
            <w:tcW w:type="dxa" w:w="28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Block definition</w:t>
            </w:r>
          </w:p>
        </w:tc>
        <w:tc>
          <w:tcPr>
            <w:tcW w:type="dxa" w:w="65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Blocks were defined by 'Rest Phase started' events in the log files. Any inconsistencies in log recording could affect block assignment.</w:t>
            </w:r>
          </w:p>
        </w:tc>
      </w:tr>
    </w:tbl>
    <w:p>
      <w:pPr>
        <w:spacing w:after="0" w:before="120"/>
      </w:pPr>
      <w:r>
        <w:t xml:space="preserve"/>
      </w:r>
    </w:p>
    <w:p>
      <w:pPr>
        <w:pStyle w:val="Heading1"/>
        <w:pBdr>
          <w:bottom w:val="single" w:color="C55A11" w:sz="6"/>
        </w:pBdr>
        <w:shd w:fill="1B3A6B" w:val="clear"/>
        <w:spacing w:after="160" w:before="300"/>
      </w:pPr>
      <w:r>
        <w:rPr>
          <w:rFonts w:ascii="Arial" w:cs="Arial" w:eastAsia="Arial" w:hAnsi="Arial"/>
          <w:b/>
          <w:bCs/>
          <w:color w:val="FFFFFF"/>
          <w:sz w:val="36"/>
          <w:szCs w:val="36"/>
        </w:rPr>
        <w:t xml:space="preserve">Appendix: Statistical Methods Reference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Method</w:t>
            </w:r>
          </w:p>
        </w:tc>
        <w:tc>
          <w:tcPr>
            <w:tcW w:type="dxa" w:w="280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Used For</w:t>
            </w:r>
          </w:p>
        </w:tc>
        <w:tc>
          <w:tcPr>
            <w:tcW w:type="dxa" w:w="4360"/>
            <w:gridSpan w:val="1"/>
            <w:tcBorders>
              <w:top w:val="single" w:color="2E75B6" w:sz="4"/>
              <w:left w:val="single" w:color="2E75B6" w:sz="4"/>
              <w:bottom w:val="single" w:color="2E75B6" w:sz="4"/>
              <w:right w:val="single" w:color="2E75B6"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Rationale</w:t>
            </w:r>
          </w:p>
        </w:tc>
      </w:tr>
      <w:tr>
        <w:tc>
          <w:tcPr>
            <w:tcW w:type="dxa" w:w="22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Shapiro-Wilk Test</w:t>
            </w:r>
          </w:p>
        </w:tc>
        <w:tc>
          <w:tcPr>
            <w:tcW w:type="dxa" w:w="28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Normality testing for all key variables</w:t>
            </w:r>
          </w:p>
        </w:tc>
        <w:tc>
          <w:tcPr>
            <w:tcW w:type="dxa" w:w="43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Standard test for distributional assumption checking</w:t>
            </w:r>
          </w:p>
        </w:tc>
      </w:tr>
      <w:tr>
        <w:tc>
          <w:tcPr>
            <w:tcW w:type="dxa" w:w="22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Mann-Whitney U Test</w:t>
            </w:r>
          </w:p>
        </w:tc>
        <w:tc>
          <w:tcPr>
            <w:tcW w:type="dxa" w:w="28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H1: Fast vs Slow group accuracy comparison</w:t>
            </w:r>
          </w:p>
        </w:tc>
        <w:tc>
          <w:tcPr>
            <w:tcW w:type="dxa" w:w="436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Non-parametric alternative to independent t-test</w:t>
            </w:r>
          </w:p>
        </w:tc>
      </w:tr>
      <w:tr>
        <w:tc>
          <w:tcPr>
            <w:tcW w:type="dxa" w:w="22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Spearman Correlation</w:t>
            </w:r>
          </w:p>
        </w:tc>
        <w:tc>
          <w:tcPr>
            <w:tcW w:type="dxa" w:w="28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H1: RT-Accuracy monotonic relationship</w:t>
            </w:r>
          </w:p>
        </w:tc>
        <w:tc>
          <w:tcPr>
            <w:tcW w:type="dxa" w:w="43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Appropriate for non-normal, ordinal-coded data</w:t>
            </w:r>
          </w:p>
        </w:tc>
      </w:tr>
      <w:tr>
        <w:tc>
          <w:tcPr>
            <w:tcW w:type="dxa" w:w="22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Logistic Regression</w:t>
            </w:r>
          </w:p>
        </w:tc>
        <w:tc>
          <w:tcPr>
            <w:tcW w:type="dxa" w:w="28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H1: RT predicting binary accuracy</w:t>
            </w:r>
          </w:p>
        </w:tc>
        <w:tc>
          <w:tcPr>
            <w:tcW w:type="dxa" w:w="436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Models probability of correct response as function of RT</w:t>
            </w:r>
          </w:p>
        </w:tc>
      </w:tr>
      <w:tr>
        <w:tc>
          <w:tcPr>
            <w:tcW w:type="dxa" w:w="22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Within-participant Z-scoring (RT)</w:t>
            </w:r>
          </w:p>
        </w:tc>
        <w:tc>
          <w:tcPr>
            <w:tcW w:type="dxa" w:w="28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H1 &amp; Logistic Regression</w:t>
            </w:r>
          </w:p>
        </w:tc>
        <w:tc>
          <w:tcPr>
            <w:tcW w:type="dxa" w:w="43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Controls for individual baseline speed differences</w:t>
            </w:r>
          </w:p>
        </w:tc>
      </w:tr>
      <w:tr>
        <w:tc>
          <w:tcPr>
            <w:tcW w:type="dxa" w:w="22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Friedman Test</w:t>
            </w:r>
          </w:p>
        </w:tc>
        <w:tc>
          <w:tcPr>
            <w:tcW w:type="dxa" w:w="28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H2: Block differences in RT and Accuracy</w:t>
            </w:r>
          </w:p>
        </w:tc>
        <w:tc>
          <w:tcPr>
            <w:tcW w:type="dxa" w:w="436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Non-parametric repeated-measures test across 3 blocks</w:t>
            </w:r>
          </w:p>
        </w:tc>
      </w:tr>
      <w:tr>
        <w:tc>
          <w:tcPr>
            <w:tcW w:type="dxa" w:w="22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Wilcoxon Signed-Rank Test</w:t>
            </w:r>
          </w:p>
        </w:tc>
        <w:tc>
          <w:tcPr>
            <w:tcW w:type="dxa" w:w="28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H2: Pairwise block comparisons</w:t>
            </w:r>
          </w:p>
        </w:tc>
        <w:tc>
          <w:tcPr>
            <w:tcW w:type="dxa" w:w="43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Non-parametric paired comparison</w:t>
            </w:r>
          </w:p>
        </w:tc>
      </w:tr>
      <w:tr>
        <w:tc>
          <w:tcPr>
            <w:tcW w:type="dxa" w:w="22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Bonferroni Correction</w:t>
            </w:r>
          </w:p>
        </w:tc>
        <w:tc>
          <w:tcPr>
            <w:tcW w:type="dxa" w:w="28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H2: Multiple comparison correction</w:t>
            </w:r>
          </w:p>
        </w:tc>
        <w:tc>
          <w:tcPr>
            <w:tcW w:type="dxa" w:w="436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Controls Family-Wise Error Rate across 3 pairwise tests</w:t>
            </w:r>
          </w:p>
        </w:tc>
      </w:tr>
      <w:tr>
        <w:tc>
          <w:tcPr>
            <w:tcW w:type="dxa" w:w="22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Odds Ratio (Logistic)</w:t>
            </w:r>
          </w:p>
        </w:tc>
        <w:tc>
          <w:tcPr>
            <w:tcW w:type="dxa" w:w="280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H1: Effect size</w:t>
            </w:r>
          </w:p>
        </w:tc>
        <w:tc>
          <w:tcPr>
            <w:tcW w:type="dxa" w:w="4360"/>
            <w:tcBorders>
              <w:top w:val="single" w:color="B8CCE4" w:sz="4"/>
              <w:left w:val="single" w:color="B8CCE4" w:sz="4"/>
              <w:bottom w:val="single" w:color="B8CCE4" w:sz="4"/>
              <w:right w:val="single" w:color="B8CCE4" w:sz="4"/>
            </w:tcBorders>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Quantifies practical magnitude of RT's effect on accuracy odds</w:t>
            </w:r>
          </w:p>
        </w:tc>
      </w:tr>
      <w:tr>
        <w:tc>
          <w:tcPr>
            <w:tcW w:type="dxa" w:w="22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Kendall's W</w:t>
            </w:r>
          </w:p>
        </w:tc>
        <w:tc>
          <w:tcPr>
            <w:tcW w:type="dxa" w:w="280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H2: Effect size for Friedman</w:t>
            </w:r>
          </w:p>
        </w:tc>
        <w:tc>
          <w:tcPr>
            <w:tcW w:type="dxa" w:w="4360"/>
            <w:tcBorders>
              <w:top w:val="single" w:color="B8CCE4" w:sz="4"/>
              <w:left w:val="single" w:color="B8CCE4" w:sz="4"/>
              <w:bottom w:val="single" w:color="B8CCE4" w:sz="4"/>
              <w:right w:val="single" w:color="B8CCE4" w:sz="4"/>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Coefficient of concordance; measures strength of block effect</w:t>
            </w:r>
          </w:p>
        </w:tc>
      </w:tr>
    </w:tbl>
    <w:p>
      <w:pPr>
        <w:spacing w:after="0" w:before="120"/>
      </w:pPr>
      <w:r>
        <w:t xml:space="preserve"/>
      </w:r>
    </w:p>
    <w:p>
      <w:pPr>
        <w:spacing w:after="80" w:before="80"/>
        <w:jc w:val="center"/>
      </w:pPr>
      <w:r>
        <w:rPr>
          <w:rFonts w:ascii="Arial" w:cs="Arial" w:eastAsia="Arial" w:hAnsi="Arial"/>
          <w:i/>
          <w:iCs/>
          <w:color w:val="555555"/>
          <w:sz w:val="20"/>
          <w:szCs w:val="20"/>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CE4" w:sz="4"/>
      </w:pBdr>
      <w:spacing w:before="10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spacing w:after="100" w:before="0"/>
    </w:pPr>
    <w:r>
      <w:rPr>
        <w:rFonts w:ascii="Arial" w:cs="Arial" w:eastAsia="Arial" w:hAnsi="Arial"/>
        <w:b/>
        <w:bCs/>
        <w:color w:val="2E75B6"/>
        <w:sz w:val="18"/>
        <w:szCs w:val="18"/>
      </w:rPr>
      <w:t xml:space="preserve">BRSM Study — Statistical Analysis Report</w:t>
    </w:r>
    <w:r>
      <w:rPr>
        <w:rFonts w:ascii="Arial" w:cs="Arial" w:eastAsia="Arial" w:hAnsi="Arial"/>
        <w:color w:val="555555"/>
        <w:sz w:val="18"/>
        <w:szCs w:val="18"/>
      </w:rPr>
      <w:t xml:space="preserve">  |  Reaction Time &amp; Cognitive Fatigue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2026-04-21T05:06:38.599Z</dcterms:created>
  <dcterms:modified xsi:type="dcterms:W3CDTF">2026-04-21T05:06:38.600Z</dcterms:modified>
</cp:coreProperties>
</file>

<file path=docProps/custom.xml><?xml version="1.0" encoding="utf-8"?>
<Properties xmlns="http://schemas.openxmlformats.org/officeDocument/2006/custom-properties" xmlns:vt="http://schemas.openxmlformats.org/officeDocument/2006/docPropsVTypes"/>
</file>