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软回车之前</w:t>
        <w:br w:type="textWrapping"/>
        <w:t>软回车之后</w:t>
      </w:r>
    </w:p>
    <w:p>
      <w:r>
        <w:t>分页符之前</w:t>
        <w:br w:type="page"/>
        <w:t>分页符之后</w:t>
      </w:r>
    </w:p>
    <w:p>
      <w:r>
        <w:t>普通段落</w:t>
      </w:r>
    </w:p>
    <w:sectPr>
      <w:pgSz w:w="11906" w:h="16838"/>
      <w:pgMar w:top="1440" w:right="1440" w:bottom="1440" w:left="1440"/>
    </w:sectPr>
  </w:body>
</w:document>
</file>