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jc w:val="center"/>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2"/>
        </w:numPr>
        <w:ind w:left="720" w:right="0" w:hanging="360"/>
        <w:jc w:val="left"/>
        <w:rPr/>
      </w:pPr>
      <w:bookmarkStart w:id="5" w:name="__RefHeading___Toc140_3387658944"/>
      <w:bookmarkStart w:id="6" w:name="_Toc103717752"/>
      <w:bookmarkEnd w:id="5"/>
      <w:r>
        <w:rPr/>
        <w:t>И</w:t>
      </w:r>
      <w:bookmarkEnd w:id="6"/>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сиволам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 xml:space="preserve">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w:t>
      </w:r>
      <w:r>
        <w:rPr/>
        <w:t>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Normal"/>
        <w:rPr/>
      </w:pPr>
      <w:r>
        <w:rPr/>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w:t>
      </w:r>
      <w:r>
        <w:rPr/>
        <w:t>(то есть количество информации, которое в секунду проигрывается)</w:t>
      </w:r>
      <w:r>
        <w:rPr/>
        <w:t xml:space="preserve">,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 xml:space="preserve">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w:t>
      </w:r>
      <w:r>
        <w:rPr/>
        <w:t>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1"/>
        <w:rPr/>
      </w:pPr>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hyperlink r:id="rId4">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hyperlink>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5">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hyperlink r:id="rId7">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hyperlink>
    </w:p>
    <w:p>
      <w:pPr>
        <w:pStyle w:val="Normal"/>
        <w:rPr>
          <w:rFonts w:ascii="times new roman" w:hAnsi="times new roman"/>
          <w:b w:val="false"/>
          <w:caps w:val="false"/>
          <w:smallCaps w:val="false"/>
          <w:color w:val="auto"/>
          <w:spacing w:val="0"/>
          <w:sz w:val="28"/>
          <w:szCs w:val="28"/>
        </w:rPr>
      </w:pPr>
      <w:r>
        <w:rPr>
          <w:i w:val="false"/>
          <w:iCs w:val="false"/>
        </w:rPr>
      </w:r>
    </w:p>
    <w:p>
      <w:pPr>
        <w:pStyle w:val="Normal"/>
        <w:spacing w:before="0" w:after="160"/>
        <w:ind w:left="0" w:right="0" w:hanging="0"/>
        <w:rPr>
          <w:rFonts w:ascii="times new roman" w:hAnsi="times new roman"/>
          <w:b w:val="false"/>
          <w:caps w:val="false"/>
          <w:smallCaps w:val="false"/>
          <w:color w:val="auto"/>
          <w:spacing w:val="0"/>
          <w:sz w:val="28"/>
          <w:szCs w:val="28"/>
        </w:rPr>
      </w:pPr>
      <w:r>
        <w:rPr>
          <w:i w:val="false"/>
          <w:iCs w:val="false"/>
        </w:rPr>
      </w:r>
    </w:p>
    <w:sectPr>
      <w:footerReference w:type="default" r:id="rId8"/>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11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spacing w:before="240" w:after="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spacing w:before="40" w:after="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is.fraunhofer.de/en/ff/amm/consumer-electronics/mp3.html" TargetMode="External"/><Relationship Id="rId4" Type="http://schemas.openxmlformats.org/officeDocument/2006/relationships/hyperlink" Target="" TargetMode="External"/><Relationship Id="rId5" Type="http://schemas.openxmlformats.org/officeDocument/2006/relationships/hyperlink" Target="https://blogs.nvidia.com/blog/2023/02/28/rtx-video-super-resolution/" TargetMode="External"/><Relationship Id="rId6" Type="http://schemas.openxmlformats.org/officeDocument/2006/relationships/hyperlink" Target="https://www.vcodex.com/historical-timeline-of-video-coding-standards-and-formats/" TargetMode="External"/><Relationship Id="rId7" Type="http://schemas.openxmlformats.org/officeDocument/2006/relationships/hyperlink" Target=""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421</TotalTime>
  <Application>LibreOffice/7.4.5.1$Linux_X86_64 LibreOffice_project/40$Build-1</Application>
  <AppVersion>15.0000</AppVersion>
  <Pages>11</Pages>
  <Words>1971</Words>
  <Characters>13493</Characters>
  <CharactersWithSpaces>15446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2023-03-20T20:50:04Z</dcterms:modified>
  <cp:revision>846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