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11</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11</w:t>
            </w:r>
          </w:hyperlink>
        </w:p>
        <w:p>
          <w:pPr>
            <w:pStyle w:val="Contents3"/>
            <w:tabs>
              <w:tab w:val="clear" w:pos="708"/>
              <w:tab w:val="right" w:pos="9638" w:leader="dot"/>
            </w:tabs>
            <w:rPr/>
          </w:pPr>
          <w:hyperlink w:anchor="__RefHeading___Toc174_552501875">
            <w:r>
              <w:rPr>
                <w:webHidden/>
                <w:rStyle w:val="IndexLink"/>
              </w:rPr>
              <w:t>2.2 Описание математической модели</w:t>
              <w:tab/>
              <w:t>13</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16</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hanging="0"/>
        <w:rPr/>
      </w:pPr>
      <w:bookmarkStart w:id="5" w:name="__RefHeading___Toc176_552501875"/>
      <w:bookmarkEnd w:id="5"/>
      <w:r>
        <w:rPr/>
        <w:t>ОСНОВНАЯ ЧАСТЬ</w:t>
      </w:r>
    </w:p>
    <w:p>
      <w:pPr>
        <w:pStyle w:val="Heading2"/>
        <w:numPr>
          <w:ilvl w:val="0"/>
          <w:numId w:val="0"/>
        </w:numPr>
        <w:ind w:left="72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Normal"/>
        <w:rPr/>
      </w:pPr>
      <w:r>
        <w:rPr/>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8" w:name="__RefHeading___Toc170_552501875"/>
      <w:bookmarkEnd w:id="8"/>
      <w:r>
        <w:rPr/>
        <w:t>2. МОДЕЛЬ РАБОТЫ АРХИВАТОРА</w:t>
      </w:r>
    </w:p>
    <w:p>
      <w:pPr>
        <w:pStyle w:val="Heading3"/>
        <w:rPr/>
      </w:pPr>
      <w:bookmarkStart w:id="9" w:name="__RefHeading___Toc172_552501875"/>
      <w:bookmarkEnd w:id="9"/>
      <w:r>
        <w:rPr/>
        <w:t>2.</w:t>
      </w:r>
      <w:r>
        <w:rPr/>
        <w:t>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r>
        <w:br w:type="page"/>
      </w:r>
    </w:p>
    <w:p>
      <w:pPr>
        <w:pStyle w:val="Heading3"/>
        <w:rPr/>
      </w:pPr>
      <w:bookmarkStart w:id="10" w:name="__RefHeading___Toc174_552501875"/>
      <w:bookmarkEnd w:id="10"/>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r>
        <w:br w:type="page"/>
      </w:r>
    </w:p>
    <w:p>
      <w:pPr>
        <w:pStyle w:val="Heading3"/>
        <w:rPr/>
      </w:pPr>
      <w:r>
        <w:rPr/>
        <w:t>2.3 Алгоритм Построения Дерева Хаффмана</w:t>
      </w:r>
    </w:p>
    <w:p>
      <w:pPr>
        <w:pStyle w:val="Normal"/>
        <w:rPr/>
      </w:pPr>
      <w:r>
        <w:rPr/>
        <w:t xml:space="preserve">В 1 главе был разобран алгоритм построения кодовых слов для кода Шеннона-Фано. Если посмотреть на него мы заметим что в результате работы мы так же получаем двоичное дерево кодов, то есть способ кодирования и декодирования при наличии дерева кодов идентичен. Отличие будет в способе построения дерева. Если использовать код Шеннона-Фано то мы начинаем построения с корня, то есть «сверху». Дерево Хаффмана же строится «снизу». Для этого применяется жадный алгоритм, принимающий оптимальное решение для текущего шага, не храня прошлые действия или предсказывая будущие. </w:t>
      </w:r>
    </w:p>
    <w:p>
      <w:pPr>
        <w:pStyle w:val="Normal"/>
        <w:rPr/>
      </w:pPr>
      <w:r>
        <w:rPr/>
        <w:t>Для построения кодового дерева мы будем объединять деревья. Объединением деревьев назовем создание новой вершины, обозначение её как нового корня, и определения корней объединяемых деревьев как его потомков.</w:t>
      </w:r>
    </w:p>
    <w:p>
      <w:pPr>
        <w:pStyle w:val="Subtitl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3075" cy="3581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3075" cy="3581400"/>
                    </a:xfrm>
                    <a:prstGeom prst="rect">
                      <a:avLst/>
                    </a:prstGeom>
                  </pic:spPr>
                </pic:pic>
              </a:graphicData>
            </a:graphic>
          </wp:anchor>
        </w:drawing>
      </w:r>
      <w:r>
        <w:rPr/>
        <w:t xml:space="preserve"> </w:t>
      </w:r>
      <w:r>
        <w:rPr/>
        <w:t>Рис. 4 — объединение деревьев. Квадраты обозначают корни деревьев. Обведены объединяемые деревья. Верхний квадрат — новый корень дерева.</w:t>
      </w:r>
    </w:p>
    <w:p>
      <w:pPr>
        <w:pStyle w:val="Normal"/>
        <w:rPr/>
      </w:pPr>
      <w:r>
        <w:rPr/>
        <w:t>Последовательно опишем алгоритм построения. Каждая вершина будет иметь вес и символ, если она не имеет потомков.</w:t>
      </w:r>
    </w:p>
    <w:p>
      <w:pPr>
        <w:pStyle w:val="Normal"/>
        <w:rPr/>
      </w:pPr>
      <w:r>
        <w:rPr/>
        <w:t>1. Создадим столько деревьев, сколько различных символов в кодируемом тексте. Каждое дерево будет состоять из одной вершины, с одноименным символом и весом — количеством раз, которое символ встречается в тексте. Поместим деревья во множество.</w:t>
      </w:r>
    </w:p>
    <w:p>
      <w:pPr>
        <w:pStyle w:val="Normal"/>
        <w:rPr/>
      </w:pPr>
      <w:r>
        <w:rPr/>
        <w:t>2. Выберем и уберем из множества два дерева с минимальной суммой весов вершин.</w:t>
      </w:r>
    </w:p>
    <w:p>
      <w:pPr>
        <w:pStyle w:val="Normal"/>
        <w:rPr/>
      </w:pPr>
      <w:r>
        <w:rPr/>
        <w:t>3. Объединим эти деревья, новому корню присвоим вес как сумму весов корней двух деревьев,  поместим получившееся дерево во множество.</w:t>
      </w:r>
    </w:p>
    <w:p>
      <w:pPr>
        <w:pStyle w:val="Normal"/>
        <w:rPr/>
      </w:pPr>
      <w:r>
        <w:rPr/>
        <w:t>4. Если во множестве большего одного дерева вернемся к пункту 2.</w:t>
      </w:r>
    </w:p>
    <w:p>
      <w:pPr>
        <w:pStyle w:val="Normal"/>
        <w:rPr/>
      </w:pPr>
      <w:r>
        <w:rPr/>
        <w:t>5. Единственное дерево во множестве будет искомым деревом Хаффмана.</w:t>
      </w:r>
    </w:p>
    <w:p>
      <w:pPr>
        <w:pStyle w:val="Normal"/>
        <w:rPr/>
      </w:pPr>
      <w:r>
        <w:rPr/>
        <w:t>Алгоритм описан самим Дэвидом Хаффманом в его работе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 (Метод построения кодов минимальной избыточности), опубликованной в сентябре 1954 года. Единственная разница с описанным выше методом использование другого определения для весов. В статье веса для вершин определены как вероятность, то есть количество вхождений символа в текст деленное на количество символов тексте. Так как делитель в вероятностях для всех элементов одинаков то определения весов в статье Хаффмана и методе, описанном выше, взаимозаменяемы.</w:t>
      </w:r>
    </w:p>
    <w:p>
      <w:pPr>
        <w:pStyle w:val="Subtitl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4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244215"/>
                    </a:xfrm>
                    <a:prstGeom prst="rect">
                      <a:avLst/>
                    </a:prstGeom>
                  </pic:spPr>
                </pic:pic>
              </a:graphicData>
            </a:graphic>
          </wp:anchor>
        </w:drawing>
      </w:r>
      <w:r>
        <w:rPr/>
        <w:t>Рис. 5 — иллюстрация из статьи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w:t>
      </w:r>
    </w:p>
    <w:p>
      <w:pPr>
        <w:pStyle w:val="Normal"/>
        <w:rPr/>
      </w:pPr>
      <w:r>
        <w:rPr/>
        <w:t xml:space="preserve">Можем видеть </w:t>
      </w:r>
      <w:r>
        <w:rPr/>
        <w:t>процесс объединения двух минимальных весов, то есть пошаговое выполнение описанного жадного алгоритма.</w:t>
      </w:r>
    </w:p>
    <w:p>
      <w:pPr>
        <w:pStyle w:val="Normal"/>
        <w:rPr/>
      </w:pPr>
      <w:r>
        <w:rPr/>
      </w:r>
    </w:p>
    <w:p>
      <w:pPr>
        <w:pStyle w:val="Subtitle"/>
        <w:jc w:val="center"/>
        <w:rPr/>
      </w:pPr>
      <w:r>
        <w:rPr/>
      </w:r>
      <w:r>
        <w:br w:type="page"/>
      </w:r>
    </w:p>
    <w:p>
      <w:pPr>
        <w:pStyle w:val="Heading1"/>
        <w:rPr/>
      </w:pPr>
      <w:bookmarkStart w:id="11" w:name="__RefHeading___Toc166_3007174596"/>
      <w:bookmarkEnd w:id="11"/>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8">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hyperlink r:id="rId10">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hyperlink>
    </w:p>
    <w:p>
      <w:pPr>
        <w:pStyle w:val="Normal"/>
        <w:rPr>
          <w:rFonts w:ascii="times new roman" w:hAnsi="times new roman"/>
          <w:b w:val="false"/>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b w:val="false"/>
          <w:caps w:val="false"/>
          <w:smallCaps w:val="false"/>
          <w:color w:val="auto"/>
          <w:spacing w:val="0"/>
          <w:sz w:val="28"/>
          <w:szCs w:val="28"/>
        </w:rPr>
      </w:pPr>
      <w:r>
        <w:rPr/>
      </w:r>
    </w:p>
    <w:sectPr>
      <w:footerReference w:type="default" r:id="rId11"/>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18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blogs.nvidia.com/blog/2023/02/28/rtx-video-super-resolution/" TargetMode="External"/><Relationship Id="rId9" Type="http://schemas.openxmlformats.org/officeDocument/2006/relationships/hyperlink" Target="https://www.vcodex.com/historical-timeline-of-video-coding-standards-and-formats/" TargetMode="External"/><Relationship Id="rId10" Type="http://schemas.openxmlformats.org/officeDocument/2006/relationships/hyperlink" Target=""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743</TotalTime>
  <Application>LibreOffice/7.4.5.1$Linux_X86_64 LibreOffice_project/40$Build-1</Application>
  <AppVersion>15.0000</AppVersion>
  <Pages>18</Pages>
  <Words>2879</Words>
  <Characters>19056</Characters>
  <CharactersWithSpaces>21899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2023-04-16T23:32:26Z</dcterms:modified>
  <cp:revision>857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