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14A0A0" w:sz="36" w:space="16"/>
        </w:pBdr>
        <w:spacing w:after="0" w:before="1200"/>
      </w:pPr>
      <w:r>
        <w:rPr>
          <w:b/>
          <w:bCs/>
          <w:color w:val="0A4A4A"/>
          <w:sz w:val="48"/>
          <w:szCs w:val="48"/>
        </w:rPr>
        <w:t xml:space="preserve">ÉTUDE DE FAISABILITÉ</w:t>
      </w:r>
    </w:p>
    <w:p>
      <w:pPr>
        <w:pBdr>
          <w:left w:val="single" w:color="14A0A0" w:sz="36" w:space="16"/>
        </w:pBdr>
        <w:spacing w:after="480"/>
      </w:pPr>
      <w:r>
        <w:rPr>
          <w:color w:val="0F6E6E"/>
          <w:sz w:val="30"/>
          <w:szCs w:val="30"/>
        </w:rPr>
        <w:t xml:space="preserve">Densification de l'infrastructure SVA</w:t>
      </w:r>
    </w:p>
    <w:p>
      <w:pPr>
        <w:spacing w:after="80"/>
      </w:pPr>
      <w:r>
        <w:rPr>
          <w:b/>
          <w:bCs/>
          <w:color w:val="404040"/>
          <w:sz w:val="24"/>
          <w:szCs w:val="24"/>
        </w:rPr>
        <w:t xml:space="preserve">Environnements QUALIF &amp; RECETTE</w:t>
      </w:r>
    </w:p>
    <w:p>
      <w:pPr>
        <w:spacing w:after="80"/>
      </w:pPr>
      <w:r>
        <w:rPr>
          <w:color w:val="595959"/>
          <w:sz w:val="22"/>
          <w:szCs w:val="22"/>
        </w:rPr>
        <w:t xml:space="preserve">Bascule SecNumCloud — Outscale, région cloud-gouv-eu</w:t>
      </w:r>
    </w:p>
    <w:p>
      <w:pPr>
        <w:spacing w:after="80" w:before="600"/>
      </w:pPr>
      <w:r>
        <w:rPr>
          <w:i/>
          <w:iCs/>
          <w:color w:val="0F6E6E"/>
          <w:sz w:val="22"/>
          <w:szCs w:val="22"/>
        </w:rPr>
        <w:t xml:space="preserve">Lecture décisionnelle : coût · sécurité · délai</w:t>
      </w:r>
    </w:p>
    <w:p>
      <w:r>
        <w:rPr>
          <w:color w:val="808080"/>
          <w:sz w:val="20"/>
          <w:szCs w:val="20"/>
        </w:rPr>
        <w:t xml:space="preserve">Mai 2026 · v3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L'essentiel</w:t>
      </w:r>
    </w:p>
    <w:p>
      <w:pPr>
        <w:spacing w:after="100" w:before="0"/>
      </w:pPr>
      <w:r>
        <w:rPr>
          <w:sz w:val="22"/>
          <w:szCs w:val="22"/>
        </w:rPr>
        <w:t xml:space="preserve">Le passage du SVA en SecNumCloud (Outscale, cloud-gouv-eu) ouvre l'occasion d'alléger les environnements hors production. Aujourd'hui, QUALIF et RECETTE mobilisent 13 machines pour faire tourner 3 projets Drupal. La question posée : jusqu'où compresser sans fragiliser ?</w:t>
      </w:r>
    </w:p>
    <w:p>
      <w:pPr>
        <w:spacing w:after="140" w:before="0"/>
      </w:pPr>
      <w:r>
        <w:rPr>
          <w:sz w:val="22"/>
          <w:szCs w:val="22"/>
        </w:rPr>
        <w:t xml:space="preserve">Plutôt que viser un chiffre, nous arbitrons sur ce qui compte vraiment — la dépense, le niveau de protection exigé, et le temps de bascule.</w:t>
      </w:r>
    </w:p>
    <w:p>
      <w:pPr>
        <w:spacing w:after="100" w:before="0"/>
      </w:pPr>
      <w:r>
        <w:rPr>
          <w:b/>
          <w:bCs/>
          <w:color w:val="0A4A4A"/>
          <w:sz w:val="24"/>
          <w:szCs w:val="24"/>
        </w:rPr>
        <w:t xml:space="preserve">Verdict : 5 machines, soit deux tiers de moins.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0A4A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Axe</w:t>
            </w:r>
          </w:p>
        </w:tc>
        <w:tc>
          <w:tcPr>
            <w:tcW w:type="dxa" w:w="312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0A4A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</w:t>
            </w:r>
          </w:p>
        </w:tc>
        <w:tc>
          <w:tcPr>
            <w:tcW w:type="dxa" w:w="312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0A4A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 bref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Dépense</w:t>
            </w:r>
          </w:p>
        </w:tc>
        <w:tc>
          <w:tcPr>
            <w:tcW w:type="dxa" w:w="312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Maximisée</w:t>
            </w:r>
          </w:p>
        </w:tc>
        <w:tc>
          <w:tcPr>
            <w:tcW w:type="dxa" w:w="312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-62 % ; descendre plus bas coûte plus qu'il ne rapporte.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Protection</w:t>
            </w:r>
          </w:p>
        </w:tc>
        <w:tc>
          <w:tcPr>
            <w:tcW w:type="dxa" w:w="312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 niveau</w:t>
            </w:r>
          </w:p>
        </w:tc>
        <w:tc>
          <w:tcPr>
            <w:tcW w:type="dxa" w:w="312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Frontière publique/privée et cloisonnement intacts.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Temps</w:t>
            </w:r>
          </w:p>
        </w:tc>
        <w:tc>
          <w:tcPr>
            <w:tcW w:type="dxa" w:w="312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Tenable</w:t>
            </w:r>
          </w:p>
        </w:tc>
        <w:tc>
          <w:tcPr>
            <w:tcW w:type="dxa" w:w="312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à 1,5 mois ; c'est la config qui cadence, pas les VM.</w:t>
            </w:r>
          </w:p>
        </w:tc>
      </w:tr>
    </w:tbl>
    <w:p>
      <w:pPr>
        <w:spacing w:after="100"/>
      </w:pPr>
    </w:p>
    <w:p>
      <w:pPr>
        <w:spacing w:after="100" w:before="0"/>
      </w:pPr>
      <w:r>
        <w:rPr>
          <w:i/>
          <w:iCs/>
          <w:sz w:val="22"/>
          <w:szCs w:val="22"/>
        </w:rPr>
        <w:t xml:space="preserve">Tout regrouper sur une seule machine semble moins cher, mais le gain part aussitôt en risque : rupture du cloisonnement imposé par SecNumCloud et panne unique paralysant tout. Cette piste est donc écartée.</w:t>
      </w:r>
    </w:p>
    <w:p>
      <w:r>
        <w:br w:type="page"/>
      </w:r>
    </w:p>
    <w:p>
      <w:pPr>
        <w:pStyle w:val="Heading1"/>
      </w:pPr>
      <w:r>
        <w:t xml:space="preserve">2. Le point de départ</w:t>
      </w:r>
    </w:p>
    <w:p>
      <w:pPr>
        <w:spacing w:after="100" w:before="0"/>
      </w:pPr>
      <w:r>
        <w:rPr>
          <w:sz w:val="22"/>
          <w:szCs w:val="22"/>
        </w:rPr>
        <w:t xml:space="preserve">Treize VM tournent actuellement : onze applicatives en zone privée, deux exposées (Reverse Proxy et Bastion) qui jouent le rôle de sas vers l'intranet.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4160"/>
      </w:tblGrid>
      <w:tr>
        <w:trPr>
          <w:tblHeader/>
        </w:trPr>
        <w:tc>
          <w:tcPr>
            <w:tcW w:type="dxa" w:w="42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0A4A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10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0A4A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Nb</w:t>
            </w:r>
          </w:p>
        </w:tc>
        <w:tc>
          <w:tcPr>
            <w:tcW w:type="dxa" w:w="41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0A4A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Pile technique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Applicatif QUALIF</w:t>
            </w:r>
          </w:p>
        </w:tc>
        <w:tc>
          <w:tcPr>
            <w:tcW w:type="dxa" w:w="10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1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Apache2 · PHP 8.3 · Drupal (1 / projet)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BDD QUALIF</w:t>
            </w:r>
          </w:p>
        </w:tc>
        <w:tc>
          <w:tcPr>
            <w:tcW w:type="dxa" w:w="10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1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MariaDB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Redis + Solr QUALIF</w:t>
            </w:r>
          </w:p>
        </w:tc>
        <w:tc>
          <w:tcPr>
            <w:tcW w:type="dxa" w:w="10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1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Redis · Solr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Applicatif RECETTE</w:t>
            </w:r>
          </w:p>
        </w:tc>
        <w:tc>
          <w:tcPr>
            <w:tcW w:type="dxa" w:w="10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1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Apache2 · PHP 8.3 · Drupal (1 / projet)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BDD RECETTE</w:t>
            </w:r>
          </w:p>
        </w:tc>
        <w:tc>
          <w:tcPr>
            <w:tcW w:type="dxa" w:w="10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1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MariaDB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Redis + Solr RECETTE</w:t>
            </w:r>
          </w:p>
        </w:tc>
        <w:tc>
          <w:tcPr>
            <w:tcW w:type="dxa" w:w="10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1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Redis · Solr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Varnish (commun)</w:t>
            </w:r>
          </w:p>
        </w:tc>
        <w:tc>
          <w:tcPr>
            <w:tcW w:type="dxa" w:w="10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1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Cache HTTP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Reverse Proxy</w:t>
            </w:r>
          </w:p>
        </w:tc>
        <w:tc>
          <w:tcPr>
            <w:tcW w:type="dxa" w:w="10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1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Caddy + Postfix (exposée)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Bastion</w:t>
            </w:r>
          </w:p>
        </w:tc>
        <w:tc>
          <w:tcPr>
            <w:tcW w:type="dxa" w:w="10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1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Rebond SSH des équipes (exposée)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D6EC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D6EC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41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D6EC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11 privées · 2 exposées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Côté dépense : jusqu'où aller</w:t>
      </w:r>
    </w:p>
    <w:p>
      <w:pPr>
        <w:spacing w:after="100" w:before="0"/>
      </w:pPr>
      <w:r>
        <w:rPr>
          <w:sz w:val="22"/>
          <w:szCs w:val="22"/>
        </w:rPr>
        <w:t xml:space="preserve">Densifier fait baisser la facture, mais pas indéfiniment. Passé un seuil, chaque VM en moins se paie ailleurs : arbitrages mémoire serrés, montages plus fragiles, exposition accrue.</w:t>
      </w:r>
    </w:p>
    <w:p>
      <w:pPr>
        <w:pStyle w:val="Heading2"/>
      </w:pPr>
      <w:r>
        <w:t xml:space="preserve">Les trois leviers retenus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Regroupement applicatif — </w:t>
      </w:r>
      <w:r>
        <w:rPr>
          <w:sz w:val="22"/>
          <w:szCs w:val="22"/>
        </w:rPr>
        <w:t xml:space="preserve">réunir les 3 sites d'un même environnement sur une seule VM, chacun avec son vhost et son pool PHP-FPM.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Conteneurs — </w:t>
      </w:r>
      <w:r>
        <w:rPr>
          <w:sz w:val="22"/>
          <w:szCs w:val="22"/>
        </w:rPr>
        <w:t xml:space="preserve">Redis, Solr et Varnish basculent en conteneurs Docker, isolés sur l'hôte de leur environnement ; une VM dédiée ne se justifie plus à ce volume.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Varnish absorbé — </w:t>
      </w:r>
      <w:r>
        <w:rPr>
          <w:sz w:val="22"/>
          <w:szCs w:val="22"/>
        </w:rPr>
        <w:t xml:space="preserve">peu utile à faible trafic ; sa fonction de cache revient à Caddy, ce qui libère une VM sans rien perdre.</w:t>
      </w:r>
    </w:p>
    <w:p>
      <w:pPr>
        <w:spacing w:after="100"/>
      </w:pPr>
    </w:p>
    <w:p>
      <w:pPr>
        <w:pStyle w:val="Heading2"/>
      </w:pPr>
      <w:r>
        <w:t xml:space="preserve">Le gain, service par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1400"/>
        <w:gridCol w:w="1400"/>
        <w:gridCol w:w="2400"/>
      </w:tblGrid>
      <w:tr>
        <w:trPr>
          <w:tblHeader/>
        </w:trPr>
        <w:tc>
          <w:tcPr>
            <w:tcW w:type="dxa" w:w="41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0A4A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0A4A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Avant</w:t>
            </w:r>
          </w:p>
        </w:tc>
        <w:tc>
          <w:tcPr>
            <w:tcW w:type="dxa" w:w="1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0A4A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Après</w:t>
            </w:r>
          </w:p>
        </w:tc>
        <w:tc>
          <w:tcPr>
            <w:tcW w:type="dxa" w:w="2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0A4A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Comment</w:t>
            </w:r>
          </w:p>
        </w:tc>
      </w:tr>
      <w:tr>
        <w:trPr>
          <w:tblHeader w:val="false"/>
        </w:trPr>
        <w:tc>
          <w:tcPr>
            <w:tcW w:type="dxa" w:w="41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Applicatif (3 × 2 env.)</w:t>
            </w:r>
          </w:p>
        </w:tc>
        <w:tc>
          <w:tcPr>
            <w:tcW w:type="dxa" w:w="1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Regroupé par env.</w:t>
            </w:r>
          </w:p>
        </w:tc>
      </w:tr>
      <w:tr>
        <w:trPr>
          <w:tblHeader w:val="false"/>
        </w:trPr>
        <w:tc>
          <w:tcPr>
            <w:tcW w:type="dxa" w:w="41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BDD</w:t>
            </w:r>
          </w:p>
        </w:tc>
        <w:tc>
          <w:tcPr>
            <w:tcW w:type="dxa" w:w="1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Instances cloisonnées</w:t>
            </w:r>
          </w:p>
        </w:tc>
      </w:tr>
      <w:tr>
        <w:trPr>
          <w:tblHeader w:val="false"/>
        </w:trPr>
        <w:tc>
          <w:tcPr>
            <w:tcW w:type="dxa" w:w="41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Redis + Solr</w:t>
            </w:r>
          </w:p>
        </w:tc>
        <w:tc>
          <w:tcPr>
            <w:tcW w:type="dxa" w:w="1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Conteneurisé</w:t>
            </w:r>
          </w:p>
        </w:tc>
      </w:tr>
      <w:tr>
        <w:trPr>
          <w:tblHeader w:val="false"/>
        </w:trPr>
        <w:tc>
          <w:tcPr>
            <w:tcW w:type="dxa" w:w="41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Varnish</w:t>
            </w:r>
          </w:p>
        </w:tc>
        <w:tc>
          <w:tcPr>
            <w:tcW w:type="dxa" w:w="1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Repris par Caddy</w:t>
            </w:r>
          </w:p>
        </w:tc>
      </w:tr>
      <w:tr>
        <w:trPr>
          <w:tblHeader w:val="false"/>
        </w:trPr>
        <w:tc>
          <w:tcPr>
            <w:tcW w:type="dxa" w:w="41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RP + Bastion</w:t>
            </w:r>
          </w:p>
        </w:tc>
        <w:tc>
          <w:tcPr>
            <w:tcW w:type="dxa" w:w="1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Maintenus</w:t>
            </w:r>
          </w:p>
        </w:tc>
      </w:tr>
      <w:tr>
        <w:trPr>
          <w:tblHeader w:val="false"/>
        </w:trPr>
        <w:tc>
          <w:tcPr>
            <w:tcW w:type="dxa" w:w="41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D6EC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D6EC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1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D6EC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D6EC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-62 %</w:t>
            </w:r>
          </w:p>
        </w:tc>
      </w:tr>
    </w:tbl>
    <w:p>
      <w:pPr>
        <w:spacing w:after="100"/>
      </w:pPr>
    </w:p>
    <w:p>
      <w:pPr>
        <w:spacing w:after="100" w:before="0"/>
      </w:pPr>
      <w:r>
        <w:rPr>
          <w:sz w:val="22"/>
          <w:szCs w:val="22"/>
        </w:rPr>
        <w:t xml:space="preserve">Pourquoi pas moins ? Une VM unique entasserait Solr, Redis, Varnish, MariaDB et trois sites PHP — de l'ordre de 10 à 20 Go par environnement avant marge système. On obtient soit une machine étranglée (saturation, OOM), soit une bête aussi chère qu'une mutualisation propre, mais sans sa solidité. Le bon palier est donc à 5.</w:t>
      </w:r>
    </w:p>
    <w:p>
      <w:r>
        <w:br w:type="page"/>
      </w:r>
    </w:p>
    <w:p>
      <w:pPr>
        <w:pStyle w:val="Heading1"/>
      </w:pPr>
      <w:r>
        <w:t xml:space="preserve">4. Côté protection : la ligne à ne pas franchir</w:t>
      </w:r>
    </w:p>
    <w:p>
      <w:pPr>
        <w:spacing w:after="100" w:before="0"/>
      </w:pPr>
      <w:r>
        <w:rPr>
          <w:sz w:val="22"/>
          <w:szCs w:val="22"/>
        </w:rPr>
        <w:t xml:space="preserve">En SecNumCloud, c'est la sécurité qui fixe le minimum de VM. Deux briques ne peuvent ni disparaître ni fusionner.</w:t>
      </w:r>
    </w:p>
    <w:p>
      <w:pPr>
        <w:pStyle w:val="Heading2"/>
      </w:pPr>
      <w:r>
        <w:t xml:space="preserve">Ce qui bloque toute fusion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RP et Bastion — </w:t>
      </w:r>
      <w:r>
        <w:rPr>
          <w:sz w:val="22"/>
          <w:szCs w:val="22"/>
        </w:rPr>
        <w:t xml:space="preserve">seuls éléments à IP publique, ils filtrent l'accès à l'intranet. Les replier reviendrait à brancher la base et Drupal en direct sur Internet.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Cloisonnement — </w:t>
      </w:r>
      <w:r>
        <w:rPr>
          <w:sz w:val="22"/>
          <w:szCs w:val="22"/>
        </w:rPr>
        <w:t xml:space="preserve">le référentiel exige des rôles séparés et une surface d'attaque réduite ; tout entasser, c'est offrir l'ensemble du périmètre dès qu'un Drupal cède.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Réseau — </w:t>
      </w:r>
      <w:r>
        <w:rPr>
          <w:sz w:val="22"/>
          <w:szCs w:val="22"/>
        </w:rPr>
        <w:t xml:space="preserve">public et privé sont aujourd'hui séparés par les groupes de sécurité ; sur une VM unique, tout passe en loopback sans filtre.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Surface CVE — </w:t>
      </w:r>
      <w:r>
        <w:rPr>
          <w:sz w:val="22"/>
          <w:szCs w:val="22"/>
        </w:rPr>
        <w:t xml:space="preserve">une seule machine cumulerait les failles de huit piles à patcher — bien plus lourd à maintenir.</w:t>
      </w:r>
    </w:p>
    <w:p>
      <w:pPr>
        <w:spacing w:after="100"/>
      </w:pPr>
    </w:p>
    <w:p>
      <w:pPr>
        <w:pStyle w:val="Heading2"/>
      </w:pPr>
      <w:r>
        <w:t xml:space="preserve">Ce que la cible 5 VM préserve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le sas public/privé reste assuré par RP et Bastion.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QUALIF et RECETTE restent étanches : la recette garde sa valeur de preuve.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la base demeure hors des VM applicatives, à l'abri d'un Drupal compromis.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Redis et Solr restent bornés par conteneur, en flux interne.</w:t>
      </w:r>
    </w:p>
    <w:p>
      <w:r>
        <w:br w:type="page"/>
      </w:r>
    </w:p>
    <w:p>
      <w:pPr>
        <w:pStyle w:val="Heading1"/>
      </w:pPr>
      <w:r>
        <w:t xml:space="preserve">5. La cible retenue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1900"/>
      </w:tblGrid>
      <w:tr>
        <w:trPr>
          <w:tblHeader/>
        </w:trPr>
        <w:tc>
          <w:tcPr>
            <w:tcW w:type="dxa" w:w="30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0A4A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VM</w:t>
            </w:r>
          </w:p>
        </w:tc>
        <w:tc>
          <w:tcPr>
            <w:tcW w:type="dxa" w:w="43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0A4A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 qu'elle héberge</w:t>
            </w:r>
          </w:p>
        </w:tc>
        <w:tc>
          <w:tcPr>
            <w:tcW w:type="dxa" w:w="19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0A4A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RP</w:t>
            </w:r>
          </w:p>
        </w:tc>
        <w:tc>
          <w:tcPr>
            <w:tcW w:type="dxa" w:w="43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Caddy + Postfix + cache (ex-Varnish)</w:t>
            </w:r>
          </w:p>
        </w:tc>
        <w:tc>
          <w:tcPr>
            <w:tcW w:type="dxa" w:w="19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Exposée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Bastion</w:t>
            </w:r>
          </w:p>
        </w:tc>
        <w:tc>
          <w:tcPr>
            <w:tcW w:type="dxa" w:w="43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Rebond SSH des équipes</w:t>
            </w:r>
          </w:p>
        </w:tc>
        <w:tc>
          <w:tcPr>
            <w:tcW w:type="dxa" w:w="19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Exposée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 QUALIF</w:t>
            </w:r>
          </w:p>
        </w:tc>
        <w:tc>
          <w:tcPr>
            <w:tcW w:type="dxa" w:w="43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Drupal + Redis + Solr conteneurisés</w:t>
            </w:r>
          </w:p>
        </w:tc>
        <w:tc>
          <w:tcPr>
            <w:tcW w:type="dxa" w:w="19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Privée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 RECETTE</w:t>
            </w:r>
          </w:p>
        </w:tc>
        <w:tc>
          <w:tcPr>
            <w:tcW w:type="dxa" w:w="43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Drupal + Redis + Solr conteneurisés</w:t>
            </w:r>
          </w:p>
        </w:tc>
        <w:tc>
          <w:tcPr>
            <w:tcW w:type="dxa" w:w="19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Privée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BDD</w:t>
            </w:r>
          </w:p>
        </w:tc>
        <w:tc>
          <w:tcPr>
            <w:tcW w:type="dxa" w:w="43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MariaDB QUALIF + RECETTE, instances séparées</w:t>
            </w:r>
          </w:p>
        </w:tc>
        <w:tc>
          <w:tcPr>
            <w:tcW w:type="dxa" w:w="19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Privée</w:t>
            </w:r>
          </w:p>
        </w:tc>
      </w:tr>
    </w:tbl>
    <w:p>
      <w:pPr>
        <w:spacing w:after="100"/>
      </w:pPr>
    </w:p>
    <w:p>
      <w:pPr>
        <w:spacing w:after="100" w:before="0"/>
      </w:pPr>
      <w:r>
        <w:rPr>
          <w:i/>
          <w:iCs/>
          <w:sz w:val="22"/>
          <w:szCs w:val="22"/>
        </w:rPr>
        <w:t xml:space="preserve">Trois conditions pour que ça tienne : un plafond de ressources par conteneur, une supervision déclinée par conteneur, et une infra entièrement décrite en IaC. En clair, on transfère la complexité de l'infra vers la configuration — acceptable hors production.</w:t>
      </w:r>
    </w:p>
    <w:p>
      <w:r>
        <w:br w:type="page"/>
      </w:r>
    </w:p>
    <w:p>
      <w:pPr>
        <w:pStyle w:val="Heading1"/>
      </w:pPr>
      <w:r>
        <w:t xml:space="preserve">6. Côté temps : la mise en place</w:t>
      </w:r>
    </w:p>
    <w:p>
      <w:pPr>
        <w:spacing w:after="100" w:before="0"/>
      </w:pPr>
      <w:r>
        <w:rPr>
          <w:sz w:val="22"/>
          <w:szCs w:val="22"/>
        </w:rPr>
        <w:t xml:space="preserve">Ce ne sont pas les VM qui prennent du temps, mais la reprise des flux, des scripts et des tests bout en bout. On suppose le tenant cloud-gouv-eu prêt et les images Ubuntu 24 alignées sur west-eu.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0A4A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Chantier</w:t>
            </w:r>
          </w:p>
        </w:tc>
        <w:tc>
          <w:tcPr>
            <w:tcW w:type="dxa" w:w="13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0A4A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Charge</w:t>
            </w:r>
          </w:p>
        </w:tc>
        <w:tc>
          <w:tcPr>
            <w:tcW w:type="dxa" w:w="45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0A4A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À surveiller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IaC Terraform</w:t>
            </w:r>
          </w:p>
        </w:tc>
        <w:tc>
          <w:tcPr>
            <w:tcW w:type="dxa" w:w="13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3–5 j</w:t>
            </w:r>
          </w:p>
        </w:tc>
        <w:tc>
          <w:tcPr>
            <w:tcW w:type="dxa" w:w="45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Modules cloud-gouv-eu, IDs réseau, SG public/privé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 Ansible</w:t>
            </w:r>
          </w:p>
        </w:tc>
        <w:tc>
          <w:tcPr>
            <w:tcW w:type="dxa" w:w="13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4–6 j</w:t>
            </w:r>
          </w:p>
        </w:tc>
        <w:tc>
          <w:tcPr>
            <w:tcW w:type="dxa" w:w="45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Conteneurs, vhosts groupés, plafonds mémoire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Flux &amp; firewall</w:t>
            </w:r>
          </w:p>
        </w:tc>
        <w:tc>
          <w:tcPr>
            <w:tcW w:type="dxa" w:w="13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3–5 j</w:t>
            </w:r>
          </w:p>
        </w:tc>
        <w:tc>
          <w:tcPr>
            <w:tcW w:type="dxa" w:w="45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bastion→VM, RP→app, sortie APIM/BdF, mail, DNS, certifs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Scripts de déploiement</w:t>
            </w:r>
          </w:p>
        </w:tc>
        <w:tc>
          <w:tcPr>
            <w:tcW w:type="dxa" w:w="13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4–7 j</w:t>
            </w:r>
          </w:p>
        </w:tc>
        <w:tc>
          <w:tcPr>
            <w:tcW w:type="dxa" w:w="45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Pipelines : hôtes, chemins conteneurs, secrets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Migration données</w:t>
            </w:r>
          </w:p>
        </w:tc>
        <w:tc>
          <w:tcPr>
            <w:tcW w:type="dxa" w:w="13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2–4 j</w:t>
            </w:r>
          </w:p>
        </w:tc>
        <w:tc>
          <w:tcPr>
            <w:tcW w:type="dxa" w:w="45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Dumps BDD, réindexation Solr, fichiers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Tests &amp; recette</w:t>
            </w:r>
          </w:p>
        </w:tc>
        <w:tc>
          <w:tcPr>
            <w:tcW w:type="dxa" w:w="13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4–6 j</w:t>
            </w:r>
          </w:p>
        </w:tc>
        <w:tc>
          <w:tcPr>
            <w:tcW w:type="dxa" w:w="45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3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projets, charge, intégration APIM REC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Supervision &amp; durcissement</w:t>
            </w:r>
          </w:p>
        </w:tc>
        <w:tc>
          <w:tcPr>
            <w:tcW w:type="dxa" w:w="13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j</w:t>
            </w:r>
          </w:p>
        </w:tc>
        <w:tc>
          <w:tcPr>
            <w:tcW w:type="dxa" w:w="45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Métriques par conteneur, conformité SecNumCloud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D6EC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D6EC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~4–6 sem.</w:t>
            </w:r>
          </w:p>
        </w:tc>
        <w:tc>
          <w:tcPr>
            <w:tcW w:type="dxa" w:w="4560"/>
            <w:tcBorders>
              <w:top w:val="single" w:color="C9D4D4" w:sz="1"/>
              <w:left w:val="single" w:color="C9D4D4" w:sz="1"/>
              <w:bottom w:val="single" w:color="C9D4D4" w:sz="1"/>
              <w:right w:val="single" w:color="C9D4D4" w:sz="1"/>
            </w:tcBorders>
            <w:shd w:fill="D6EC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≈ 22–36 j-h · 1 à 1,5 mois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Flux à ouvrir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Admin — </w:t>
      </w:r>
      <w:r>
        <w:rPr>
          <w:sz w:val="22"/>
          <w:szCs w:val="22"/>
        </w:rPr>
        <w:t xml:space="preserve">bastion vers VM applicatives et base (SSH), en zone gouv isolée.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Frontal — </w:t>
      </w:r>
      <w:r>
        <w:rPr>
          <w:sz w:val="22"/>
          <w:szCs w:val="22"/>
        </w:rPr>
        <w:t xml:space="preserve">Caddy vers les VM applicatives ; mail sortant Postfix.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Interne — </w:t>
      </w:r>
      <w:r>
        <w:rPr>
          <w:sz w:val="22"/>
          <w:szCs w:val="22"/>
        </w:rPr>
        <w:t xml:space="preserve">Drupal vers Redis/Solr (locaux) et vers MariaDB.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Exposition — </w:t>
      </w:r>
      <w:r>
        <w:rPr>
          <w:sz w:val="22"/>
          <w:szCs w:val="22"/>
        </w:rPr>
        <w:t xml:space="preserve">DNS, certificats TLS 1.3, endpoints déclarés dans cloud-gouv-eu.</w:t>
      </w:r>
    </w:p>
    <w:p>
      <w:pPr>
        <w:spacing w:after="100"/>
      </w:pPr>
    </w:p>
    <w:p>
      <w:pPr>
        <w:pStyle w:val="Heading2"/>
      </w:pPr>
      <w:r>
        <w:t xml:space="preserve">Scripts à reprendre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Terraform — </w:t>
      </w:r>
      <w:r>
        <w:rPr>
          <w:sz w:val="22"/>
          <w:szCs w:val="22"/>
        </w:rPr>
        <w:t xml:space="preserve">plus d'IDs en dur, paramétrage par env. et région, state propre à cloud-gouv-eu.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Ansible — </w:t>
      </w:r>
      <w:r>
        <w:rPr>
          <w:sz w:val="22"/>
          <w:szCs w:val="22"/>
        </w:rPr>
        <w:t xml:space="preserve">rôles ajustés aux conteneurs avec plafonds de ressources.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CI/CD — </w:t>
      </w:r>
      <w:r>
        <w:rPr>
          <w:sz w:val="22"/>
          <w:szCs w:val="22"/>
        </w:rPr>
        <w:t xml:space="preserve">on passe de 11 cibles à 2 hôtes ; la livraison des dépendances (ZIP/composer) ne change pas, seuls les hôtes bougent.</w:t>
      </w:r>
    </w:p>
    <w:p>
      <w:r>
        <w:br w:type="page"/>
      </w:r>
    </w:p>
    <w:p>
      <w:pPr>
        <w:pStyle w:val="Heading1"/>
      </w:pPr>
      <w:r>
        <w:t xml:space="preserve">7. Décision</w:t>
      </w:r>
    </w:p>
    <w:p>
      <w:pPr>
        <w:spacing w:after="100" w:before="0"/>
      </w:pPr>
      <w:r>
        <w:rPr>
          <w:sz w:val="22"/>
          <w:szCs w:val="22"/>
        </w:rPr>
        <w:t xml:space="preserve">Sur les trois axes, la cible 5 VM s'impose comme le bon compromis 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Dépense — </w:t>
      </w:r>
      <w:r>
        <w:rPr>
          <w:sz w:val="22"/>
          <w:szCs w:val="22"/>
        </w:rPr>
        <w:t xml:space="preserve">on prend toute l'économie atteignable avant que le jeu n'en vaille plus la chandelle.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Protection — </w:t>
      </w:r>
      <w:r>
        <w:rPr>
          <w:sz w:val="22"/>
          <w:szCs w:val="22"/>
        </w:rPr>
        <w:t xml:space="preserve">le seuil SecNumCloud est tenu — c'est non négociable.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Temps — </w:t>
      </w:r>
      <w:r>
        <w:rPr>
          <w:sz w:val="22"/>
          <w:szCs w:val="22"/>
        </w:rPr>
        <w:t xml:space="preserve">1 à 1,5 mois, à condition de respecter les trois prérequis.</w:t>
      </w:r>
    </w:p>
    <w:p>
      <w:pPr>
        <w:spacing w:after="100"/>
      </w:pPr>
    </w:p>
    <w:p>
      <w:pPr>
        <w:spacing w:after="100" w:before="0"/>
      </w:pPr>
      <w:r>
        <w:rPr>
          <w:b/>
          <w:bCs/>
          <w:color w:val="0A4A4A"/>
          <w:sz w:val="22"/>
          <w:szCs w:val="22"/>
        </w:rPr>
        <w:t xml:space="preserve">Retenu : RP (Caddy + Postfix + cache), Bastion, App QUALIF et App RECETTE (3 Drupal + Redis + Solr conteneurisés chacune), et une BDD mutualisée à instances séparées.</w:t>
      </w:r>
    </w:p>
    <w:p>
      <w:pPr>
        <w:spacing w:after="100" w:before="0"/>
      </w:pPr>
      <w:r>
        <w:rPr>
          <w:i/>
          <w:iCs/>
          <w:sz w:val="22"/>
          <w:szCs w:val="22"/>
        </w:rPr>
        <w:t xml:space="preserve">La VM unique reste hors-jeu : son économie de façade s'efface devant la non-conformité et le point de panne unique qu'elle crée.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4D4" w:sz="4" w:space="2"/>
      </w:pBdr>
      <w:jc w:val="right"/>
    </w:pPr>
    <w:r>
      <w:rPr>
        <w:color w:val="808080"/>
        <w:sz w:val="16"/>
        <w:szCs w:val="16"/>
      </w:rPr>
      <w:t xml:space="preserve">Densification VM QUALIF/RECETTE — SecNumCloud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4A0A0" w:sz="6" w:space="4"/>
      </w:pBdr>
      <w:spacing w:after="150" w:before="240"/>
      <w:outlineLvl w:val="0"/>
    </w:pPr>
    <w:rPr>
      <w:rFonts w:ascii="Arial" w:cs="Arial" w:eastAsia="Arial" w:hAnsi="Arial"/>
      <w:b/>
      <w:bCs/>
      <w:color w:val="0A4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50"/>
      <w:outlineLvl w:val="1"/>
    </w:pPr>
    <w:rPr>
      <w:rFonts w:ascii="Arial" w:cs="Arial" w:eastAsia="Arial" w:hAnsi="Arial"/>
      <w:b/>
      <w:bCs/>
      <w:color w:val="0F6E6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2026-05-29T09:23:17.821Z</dcterms:created>
  <dcterms:modified xsi:type="dcterms:W3CDTF">2026-05-29T09:23:17.833Z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