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7DBF" w14:textId="77777777" w:rsidR="00E44F83" w:rsidRDefault="00E44F83" w:rsidP="00E44F83">
      <w:pPr>
        <w:rPr>
          <w:sz w:val="32"/>
          <w:szCs w:val="32"/>
        </w:rPr>
      </w:pPr>
      <w:r w:rsidRPr="00E44F83">
        <w:rPr>
          <w:b/>
          <w:bCs/>
          <w:sz w:val="32"/>
          <w:szCs w:val="32"/>
          <w:highlight w:val="cyan"/>
        </w:rPr>
        <w:t>PAGE 01: EXECUTIVE SUMMARY | SALES, PROFITABILITY &amp; TARGET PERFORMANCE</w:t>
      </w:r>
      <w:r w:rsidRPr="00E44F83">
        <w:rPr>
          <w:sz w:val="32"/>
          <w:szCs w:val="32"/>
        </w:rPr>
        <w:t xml:space="preserve"> </w:t>
      </w:r>
    </w:p>
    <w:p w14:paraId="684B5F4A" w14:textId="6B32A1B6" w:rsidR="00E44F83" w:rsidRPr="00E44F83" w:rsidRDefault="00E44F83" w:rsidP="00E44F8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72B277" wp14:editId="39BFF352">
            <wp:extent cx="5943600" cy="3332480"/>
            <wp:effectExtent l="76200" t="114300" r="76200" b="39370"/>
            <wp:docPr id="12699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3279" name="Picture 1269943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BD152D" w14:textId="77777777" w:rsidR="00E44F83" w:rsidRPr="00E44F83" w:rsidRDefault="00E44F83" w:rsidP="00E44F83">
      <w:pPr>
        <w:rPr>
          <w:b/>
          <w:bCs/>
          <w:color w:val="2563EB"/>
        </w:rPr>
      </w:pPr>
      <w:r w:rsidRPr="00E44F83">
        <w:rPr>
          <w:b/>
          <w:bCs/>
          <w:color w:val="2563EB"/>
        </w:rPr>
        <w:t xml:space="preserve">1. Management Question What is the overall status of net sales, profitability, and target achievement across regions, categories, and branches during the selected period? </w:t>
      </w:r>
    </w:p>
    <w:p w14:paraId="43E244E0" w14:textId="77777777" w:rsidR="00E44F83" w:rsidRPr="00E44F83" w:rsidRDefault="00E44F83" w:rsidP="00E44F83">
      <w:r w:rsidRPr="00E44F83">
        <w:rPr>
          <w:b/>
          <w:bCs/>
          <w:color w:val="2563EB"/>
        </w:rPr>
        <w:t>2. Key Performance Indicators (KPIs Summary)</w:t>
      </w:r>
    </w:p>
    <w:p w14:paraId="5A792402" w14:textId="77777777" w:rsidR="00E44F83" w:rsidRPr="00E44F83" w:rsidRDefault="00E44F83" w:rsidP="00E44F83">
      <w:pPr>
        <w:numPr>
          <w:ilvl w:val="0"/>
          <w:numId w:val="1"/>
        </w:numPr>
        <w:rPr>
          <w:color w:val="1E293B"/>
        </w:rPr>
      </w:pPr>
      <w:r w:rsidRPr="00E44F83">
        <w:rPr>
          <w:b/>
          <w:bCs/>
          <w:color w:val="1E293B"/>
        </w:rPr>
        <w:t>Net Sales (USD):</w:t>
      </w:r>
      <w:r w:rsidRPr="00E44F83">
        <w:rPr>
          <w:color w:val="1E293B"/>
        </w:rPr>
        <w:t xml:space="preserve"> </w:t>
      </w:r>
      <w:r w:rsidRPr="00E44F83">
        <w:rPr>
          <w:b/>
          <w:bCs/>
          <w:color w:val="1E293B"/>
        </w:rPr>
        <w:t>$32.85M</w:t>
      </w:r>
      <w:r w:rsidRPr="00E44F83">
        <w:rPr>
          <w:color w:val="1E293B"/>
        </w:rPr>
        <w:t xml:space="preserve"> </w:t>
      </w:r>
      <w:r w:rsidRPr="00E44F83">
        <w:rPr>
          <w:b/>
          <w:bCs/>
          <w:color w:val="1E293B"/>
        </w:rPr>
        <w:t>($32,846,413.92</w:t>
      </w:r>
      <w:r w:rsidRPr="00E44F83">
        <w:rPr>
          <w:color w:val="1E293B"/>
        </w:rPr>
        <w:t xml:space="preserve"> across all active regions and channels). </w:t>
      </w:r>
    </w:p>
    <w:p w14:paraId="74674A5F" w14:textId="77777777" w:rsidR="00E44F83" w:rsidRPr="00E44F83" w:rsidRDefault="00E44F83" w:rsidP="00E44F83">
      <w:pPr>
        <w:numPr>
          <w:ilvl w:val="0"/>
          <w:numId w:val="1"/>
        </w:numPr>
        <w:rPr>
          <w:color w:val="1E293B"/>
        </w:rPr>
      </w:pPr>
      <w:r w:rsidRPr="00E44F83">
        <w:rPr>
          <w:b/>
          <w:bCs/>
          <w:color w:val="1E293B"/>
        </w:rPr>
        <w:t>Gross Profit (USD):</w:t>
      </w:r>
      <w:r w:rsidRPr="00E44F83">
        <w:rPr>
          <w:color w:val="1E293B"/>
        </w:rPr>
        <w:t xml:space="preserve"> </w:t>
      </w:r>
      <w:r w:rsidRPr="00E44F83">
        <w:rPr>
          <w:b/>
          <w:bCs/>
          <w:color w:val="1E293B"/>
        </w:rPr>
        <w:t>$12.09M</w:t>
      </w:r>
      <w:r w:rsidRPr="00E44F83">
        <w:rPr>
          <w:color w:val="1E293B"/>
        </w:rPr>
        <w:t xml:space="preserve">. </w:t>
      </w:r>
    </w:p>
    <w:p w14:paraId="399D2310" w14:textId="77777777" w:rsidR="00E44F83" w:rsidRPr="00E44F83" w:rsidRDefault="00E44F83" w:rsidP="00E44F83">
      <w:pPr>
        <w:numPr>
          <w:ilvl w:val="0"/>
          <w:numId w:val="1"/>
        </w:numPr>
        <w:rPr>
          <w:color w:val="1E293B"/>
        </w:rPr>
      </w:pPr>
      <w:r w:rsidRPr="00E44F83">
        <w:rPr>
          <w:b/>
          <w:bCs/>
          <w:color w:val="1E293B"/>
        </w:rPr>
        <w:t>Gross Profit Margin %:</w:t>
      </w:r>
      <w:r w:rsidRPr="00E44F83">
        <w:rPr>
          <w:color w:val="1E293B"/>
        </w:rPr>
        <w:t xml:space="preserve"> </w:t>
      </w:r>
      <w:r w:rsidRPr="00E44F83">
        <w:rPr>
          <w:b/>
          <w:bCs/>
          <w:color w:val="1E293B"/>
        </w:rPr>
        <w:t>36.81%.</w:t>
      </w:r>
      <w:r w:rsidRPr="00E44F83">
        <w:rPr>
          <w:color w:val="1E293B"/>
        </w:rPr>
        <w:t xml:space="preserve"> </w:t>
      </w:r>
    </w:p>
    <w:p w14:paraId="5C56DCBA" w14:textId="77777777" w:rsidR="00E44F83" w:rsidRPr="00E44F83" w:rsidRDefault="00E44F83" w:rsidP="00E44F83">
      <w:pPr>
        <w:numPr>
          <w:ilvl w:val="0"/>
          <w:numId w:val="1"/>
        </w:numPr>
        <w:rPr>
          <w:color w:val="1E293B"/>
        </w:rPr>
      </w:pPr>
      <w:r w:rsidRPr="00E44F83">
        <w:rPr>
          <w:b/>
          <w:bCs/>
          <w:color w:val="1E293B"/>
        </w:rPr>
        <w:t>Eligible Orders:</w:t>
      </w:r>
      <w:r w:rsidRPr="00E44F83">
        <w:rPr>
          <w:color w:val="1E293B"/>
        </w:rPr>
        <w:t xml:space="preserve"> </w:t>
      </w:r>
      <w:r w:rsidRPr="00E44F83">
        <w:rPr>
          <w:b/>
          <w:bCs/>
          <w:color w:val="1E293B"/>
        </w:rPr>
        <w:t>35K</w:t>
      </w:r>
      <w:r w:rsidRPr="00E44F83">
        <w:rPr>
          <w:color w:val="1E293B"/>
        </w:rPr>
        <w:t xml:space="preserve"> orders. </w:t>
      </w:r>
    </w:p>
    <w:p w14:paraId="0B5EA317" w14:textId="77777777" w:rsidR="00E44F83" w:rsidRPr="00E44F83" w:rsidRDefault="00E44F83" w:rsidP="00E44F83">
      <w:pPr>
        <w:numPr>
          <w:ilvl w:val="0"/>
          <w:numId w:val="1"/>
        </w:numPr>
        <w:rPr>
          <w:color w:val="1E293B"/>
        </w:rPr>
      </w:pPr>
      <w:r w:rsidRPr="00E44F83">
        <w:rPr>
          <w:b/>
          <w:bCs/>
          <w:color w:val="1E293B"/>
        </w:rPr>
        <w:t>Target Achievement %:</w:t>
      </w:r>
      <w:r w:rsidRPr="00E44F83">
        <w:rPr>
          <w:color w:val="1E293B"/>
        </w:rPr>
        <w:t xml:space="preserve"> </w:t>
      </w:r>
      <w:r w:rsidRPr="00E44F83">
        <w:rPr>
          <w:b/>
          <w:bCs/>
          <w:color w:val="1E293B"/>
        </w:rPr>
        <w:t>4.46%</w:t>
      </w:r>
      <w:r w:rsidRPr="00E44F83">
        <w:rPr>
          <w:color w:val="1E293B"/>
        </w:rPr>
        <w:t xml:space="preserve"> (Actual Net Sales of </w:t>
      </w:r>
      <w:r w:rsidRPr="00E44F83">
        <w:rPr>
          <w:b/>
          <w:bCs/>
          <w:color w:val="1E293B"/>
        </w:rPr>
        <w:t>$32.85M</w:t>
      </w:r>
      <w:r w:rsidRPr="00E44F83">
        <w:rPr>
          <w:color w:val="1E293B"/>
        </w:rPr>
        <w:t xml:space="preserve"> vs. Total Sales Target of </w:t>
      </w:r>
      <w:r w:rsidRPr="00E44F83">
        <w:rPr>
          <w:b/>
          <w:bCs/>
          <w:color w:val="1E293B"/>
        </w:rPr>
        <w:t>$736.01M</w:t>
      </w:r>
      <w:r w:rsidRPr="00E44F83">
        <w:rPr>
          <w:color w:val="1E293B"/>
        </w:rPr>
        <w:t xml:space="preserve">, resulting in a negative variance of </w:t>
      </w:r>
      <w:r w:rsidRPr="00E44F83">
        <w:rPr>
          <w:b/>
          <w:bCs/>
          <w:color w:val="1E293B"/>
        </w:rPr>
        <w:t>-$703.16M</w:t>
      </w:r>
      <w:r w:rsidRPr="00E44F83">
        <w:rPr>
          <w:color w:val="1E293B"/>
        </w:rPr>
        <w:t xml:space="preserve">). </w:t>
      </w:r>
    </w:p>
    <w:p w14:paraId="48A362D3" w14:textId="77777777" w:rsidR="00E44F83" w:rsidRPr="00E44F83" w:rsidRDefault="00E44F83" w:rsidP="00E44F83">
      <w:pPr>
        <w:rPr>
          <w:b/>
          <w:bCs/>
          <w:color w:val="2563EB"/>
        </w:rPr>
      </w:pPr>
      <w:r w:rsidRPr="00E44F83">
        <w:rPr>
          <w:b/>
          <w:bCs/>
          <w:color w:val="2563EB"/>
        </w:rPr>
        <w:t>3. Visual &amp; Dimensional Breakdown</w:t>
      </w:r>
    </w:p>
    <w:p w14:paraId="3F131EB4" w14:textId="77777777" w:rsidR="00E44F83" w:rsidRPr="00E44F83" w:rsidRDefault="00E44F83" w:rsidP="00E44F83">
      <w:pPr>
        <w:numPr>
          <w:ilvl w:val="0"/>
          <w:numId w:val="1"/>
        </w:numPr>
        <w:rPr>
          <w:b/>
          <w:bCs/>
          <w:color w:val="1E293B"/>
        </w:rPr>
      </w:pPr>
      <w:r w:rsidRPr="00E44F83">
        <w:rPr>
          <w:b/>
          <w:bCs/>
          <w:color w:val="1E293B"/>
        </w:rPr>
        <w:t xml:space="preserve">Monthly Sales Trend: Monthly revenue remained relatively stable between $2.60M (lowest in March) and $2.84M (peak in July), with a secondary peak in October ($2.81M) before settling at $2.68M in November and December. </w:t>
      </w:r>
    </w:p>
    <w:p w14:paraId="5B8DC85D" w14:textId="77777777" w:rsidR="00E44F83" w:rsidRPr="00E44F83" w:rsidRDefault="00E44F83" w:rsidP="00E44F83">
      <w:pPr>
        <w:numPr>
          <w:ilvl w:val="0"/>
          <w:numId w:val="1"/>
        </w:numPr>
        <w:rPr>
          <w:b/>
          <w:bCs/>
          <w:color w:val="1E293B"/>
        </w:rPr>
      </w:pPr>
      <w:r w:rsidRPr="00E44F83">
        <w:rPr>
          <w:b/>
          <w:bCs/>
          <w:color w:val="1E293B"/>
        </w:rPr>
        <w:lastRenderedPageBreak/>
        <w:t xml:space="preserve">Regional Performance: Europe leads all territories with $9.2M in Net Sales (approx. 28% of total revenue), followed by the Middle East ($7.4M) and North America ($7.2M), while Asia Pacific ($5.5M) and Africa ($3.5M) represent the smallest regional shares. </w:t>
      </w:r>
    </w:p>
    <w:p w14:paraId="694C83FB" w14:textId="77777777" w:rsidR="00E44F83" w:rsidRPr="00E44F83" w:rsidRDefault="00E44F83" w:rsidP="00E44F83">
      <w:pPr>
        <w:numPr>
          <w:ilvl w:val="0"/>
          <w:numId w:val="1"/>
        </w:numPr>
        <w:rPr>
          <w:b/>
          <w:bCs/>
          <w:color w:val="1E293B"/>
        </w:rPr>
      </w:pPr>
      <w:r w:rsidRPr="00E44F83">
        <w:rPr>
          <w:b/>
          <w:bCs/>
          <w:color w:val="1E293B"/>
        </w:rPr>
        <w:t xml:space="preserve">Category Performance: Revenue is heavily anchored by three core categories: Home &amp; Office ($6.7M), Apparel ($6.3M), and Electronics ($6.2M), which collectively generate $19.2M (58.4% of total sales). Secondary categories include Healthcare ($3.9M), Industrial ($3.6M), Packaging ($2.5M), Automotive ($2.0M), and Outdoor ($1.6M). </w:t>
      </w:r>
    </w:p>
    <w:p w14:paraId="3770191D" w14:textId="77777777" w:rsidR="00E44F83" w:rsidRPr="00E44F83" w:rsidRDefault="00E44F83" w:rsidP="00E44F83">
      <w:pPr>
        <w:numPr>
          <w:ilvl w:val="0"/>
          <w:numId w:val="1"/>
        </w:numPr>
        <w:rPr>
          <w:b/>
          <w:bCs/>
          <w:color w:val="1E293B"/>
        </w:rPr>
      </w:pPr>
      <w:r w:rsidRPr="00E44F83">
        <w:rPr>
          <w:b/>
          <w:bCs/>
          <w:color w:val="1E293B"/>
        </w:rPr>
        <w:t xml:space="preserve">Branch Target Matrix: Every single branch exhibits a uniform target achievement rate between 4.28% and 4.60% (e.g., Abu Dhabi Centre achieved $1.98M against a $43.10M target, or 4.60%; Berlin Mitte achieved $1.81M against a $40.47M target, or 4.47%). </w:t>
      </w:r>
    </w:p>
    <w:p w14:paraId="62803AB6" w14:textId="77777777" w:rsidR="00E44F83" w:rsidRPr="00D52832" w:rsidRDefault="00E44F83" w:rsidP="00E44F83">
      <w:pPr>
        <w:rPr>
          <w:b/>
          <w:bCs/>
          <w:color w:val="1E293B"/>
        </w:rPr>
      </w:pPr>
      <w:r w:rsidRPr="00D52832">
        <w:rPr>
          <w:b/>
          <w:bCs/>
          <w:color w:val="2563EB"/>
        </w:rPr>
        <w:t>4. Executive Finding (Data-Driven Insight — Correlation vs. Causation) The business</w:t>
      </w:r>
      <w:r w:rsidRPr="00E44F83">
        <w:t xml:space="preserve"> </w:t>
      </w:r>
      <w:r w:rsidRPr="00D52832">
        <w:rPr>
          <w:b/>
          <w:bCs/>
          <w:color w:val="1E293B"/>
        </w:rPr>
        <w:t xml:space="preserve">demonstrates healthy operational profitability with a 36.81% Gross Profit Margin ($12.09M) across 35K eligible orders, driven primarily by strong demand in Europe ($9.2M) and top-tier product categories (Home &amp; Office, Apparel, and Electronics). However, overall Target Achievement stands at a critical 4.46% (-$703.16M variance). Because this ~95.5% shortfall occurs uniformly across all branches (all hovering tightly around 4.3%–4.6% attainment regardless of geography), the data indicates a systemic target-allocation or data-granularity mismatch (e.g., multi-year or company-wide targets unadjusted for branch-level filter granularity) rather than an operational collapse in branch sales execution. (Note: High target variance correlates with top-down quota scaling and does not imply causal failure by branch personnel). </w:t>
      </w:r>
    </w:p>
    <w:p w14:paraId="6C593567" w14:textId="77777777" w:rsidR="00E44F83" w:rsidRPr="00D52832" w:rsidRDefault="00E44F83" w:rsidP="00E44F83">
      <w:pPr>
        <w:rPr>
          <w:b/>
          <w:bCs/>
          <w:color w:val="2563EB"/>
        </w:rPr>
      </w:pPr>
      <w:r w:rsidRPr="00D52832">
        <w:rPr>
          <w:b/>
          <w:bCs/>
          <w:color w:val="2563EB"/>
        </w:rPr>
        <w:t>5. Actionable Recommendation</w:t>
      </w:r>
    </w:p>
    <w:p w14:paraId="35628FBA" w14:textId="77777777" w:rsidR="00E44F83" w:rsidRPr="00D52832" w:rsidRDefault="00E44F83" w:rsidP="00E44F83">
      <w:pPr>
        <w:numPr>
          <w:ilvl w:val="0"/>
          <w:numId w:val="3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Re-baseline &amp; Audit Branch Quotas: Immediately audit the </w:t>
      </w:r>
      <w:proofErr w:type="spellStart"/>
      <w:r w:rsidRPr="00D52832">
        <w:rPr>
          <w:b/>
          <w:bCs/>
          <w:color w:val="1E293B"/>
        </w:rPr>
        <w:t>Fact_Targets</w:t>
      </w:r>
      <w:proofErr w:type="spellEnd"/>
      <w:r w:rsidRPr="00D52832">
        <w:rPr>
          <w:b/>
          <w:bCs/>
          <w:color w:val="1E293B"/>
        </w:rPr>
        <w:t xml:space="preserve"> allocation logic with Finance and Sales Operations to align branch quotas ($736.01M total) with historical branch run-rates (~$1.7M–$2.0M per branch annually) so performance tracking becomes realistic and motivating. </w:t>
      </w:r>
    </w:p>
    <w:p w14:paraId="2130AE36" w14:textId="77777777" w:rsidR="00E44F83" w:rsidRPr="00D52832" w:rsidRDefault="00E44F83" w:rsidP="00E44F83">
      <w:pPr>
        <w:numPr>
          <w:ilvl w:val="0"/>
          <w:numId w:val="3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Protect Core Category Margins: Focus commercial growth initiatives on expanding the top three revenue engines (Home &amp; Office, Apparel, Electronics) within mid-tier regions (Asia Pacific and Africa) while maintaining the strong 36.81% margin baseline. </w:t>
      </w:r>
    </w:p>
    <w:p w14:paraId="639806B6" w14:textId="77777777" w:rsidR="00E44F83" w:rsidRPr="00D52832" w:rsidRDefault="00E44F83" w:rsidP="00E44F83">
      <w:pPr>
        <w:rPr>
          <w:b/>
          <w:bCs/>
          <w:color w:val="1E293B"/>
        </w:rPr>
      </w:pPr>
      <w:r w:rsidRPr="00D52832">
        <w:rPr>
          <w:b/>
          <w:bCs/>
          <w:color w:val="1E293B"/>
        </w:rPr>
        <w:t>6. Units, Timeframe &amp; Sources of Uncertainty (Data Governance)</w:t>
      </w:r>
    </w:p>
    <w:p w14:paraId="5A465DB1" w14:textId="77777777" w:rsidR="00E44F83" w:rsidRPr="00D52832" w:rsidRDefault="00E44F83" w:rsidP="00E44F83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Units &amp; Currency: All monetary figures are standardized in US Dollars (USD); order counts are in thousands (K). </w:t>
      </w:r>
    </w:p>
    <w:p w14:paraId="58852684" w14:textId="77777777" w:rsidR="00E44F83" w:rsidRPr="00D52832" w:rsidRDefault="00E44F83" w:rsidP="00E44F83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Time Horizon: Full-year aggregated view (Year = All, January through December). </w:t>
      </w:r>
    </w:p>
    <w:p w14:paraId="07238048" w14:textId="77777777" w:rsidR="00E44F83" w:rsidRPr="00D52832" w:rsidRDefault="00E44F83" w:rsidP="00D52832">
      <w:pPr>
        <w:tabs>
          <w:tab w:val="num" w:pos="720"/>
        </w:tabs>
        <w:rPr>
          <w:b/>
          <w:bCs/>
          <w:color w:val="2563EB"/>
        </w:rPr>
      </w:pPr>
      <w:r w:rsidRPr="00D52832">
        <w:rPr>
          <w:b/>
          <w:bCs/>
          <w:color w:val="2563EB"/>
        </w:rPr>
        <w:lastRenderedPageBreak/>
        <w:t>Sources of Uncertainty &amp; Data Caveats:</w:t>
      </w:r>
    </w:p>
    <w:p w14:paraId="77FCF3F7" w14:textId="77777777" w:rsidR="00E44F83" w:rsidRPr="00D52832" w:rsidRDefault="00E44F83" w:rsidP="00D52832">
      <w:pPr>
        <w:ind w:left="720"/>
        <w:rPr>
          <w:b/>
          <w:bCs/>
          <w:color w:val="1E293B"/>
        </w:rPr>
      </w:pPr>
    </w:p>
    <w:p w14:paraId="3E283235" w14:textId="2536E82D" w:rsidR="00E44F83" w:rsidRPr="00D52832" w:rsidRDefault="00E44F83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Unclassified Records: Approximately $0.1M in Net Sales is linked to an "Unknown" product category, requiring master-data mapping in </w:t>
      </w:r>
      <w:proofErr w:type="spellStart"/>
      <w:r w:rsidRPr="00D52832">
        <w:rPr>
          <w:b/>
          <w:bCs/>
          <w:color w:val="1E293B"/>
        </w:rPr>
        <w:t>Dim_Products</w:t>
      </w:r>
      <w:proofErr w:type="spellEnd"/>
      <w:r w:rsidRPr="00D52832">
        <w:rPr>
          <w:b/>
          <w:bCs/>
          <w:color w:val="1E293B"/>
        </w:rPr>
        <w:t xml:space="preserve">. </w:t>
      </w:r>
    </w:p>
    <w:p w14:paraId="271AEF40" w14:textId="300D06CE" w:rsidR="00E44F83" w:rsidRPr="00D52832" w:rsidRDefault="00E44F83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 Prior Year (PY) Trend Overlap: In the monthly trend chart, the Net Sales PY line completely overlaps the current Net Sales USD line across all 12 months when Year = All is selected. A specific single year must be selected in the Year slicer for accurate Year-over-Year (YoY) comparison. </w:t>
      </w:r>
    </w:p>
    <w:p w14:paraId="4F59357A" w14:textId="0C5B740C" w:rsidR="00E44F83" w:rsidRPr="00D52832" w:rsidRDefault="00E44F83" w:rsidP="00D52832">
      <w:pPr>
        <w:ind w:left="720"/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Target Granularity Discrepancy: The extreme gap between actual sales ($32.85M) and target ($736.01M) reflects target table grain differences that must be factored in before evaluating branch managers. </w:t>
      </w:r>
    </w:p>
    <w:p w14:paraId="2C65713F" w14:textId="77777777" w:rsidR="00E44F83" w:rsidRPr="00D52832" w:rsidRDefault="00E44F83" w:rsidP="00D52832">
      <w:pPr>
        <w:ind w:left="720"/>
        <w:rPr>
          <w:b/>
          <w:bCs/>
          <w:color w:val="1E293B"/>
        </w:rPr>
      </w:pPr>
    </w:p>
    <w:p w14:paraId="64E812C8" w14:textId="77777777" w:rsidR="00E44F83" w:rsidRDefault="00E44F83" w:rsidP="00D52832">
      <w:pPr>
        <w:ind w:left="720"/>
        <w:rPr>
          <w:b/>
          <w:bCs/>
          <w:color w:val="1E293B"/>
        </w:rPr>
      </w:pPr>
    </w:p>
    <w:p w14:paraId="5A0DC24D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2FDD826A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4FEDD8D4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1D3B73A7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3A0D8B0A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5925B321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76C7D233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78AF1086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4CC262A1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581BFD84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6AE1C611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1299F163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1A3D0A5D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0C0AC190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707C3209" w14:textId="77777777" w:rsidR="00D52832" w:rsidRDefault="00D52832" w:rsidP="00D52832">
      <w:pPr>
        <w:ind w:left="720"/>
        <w:rPr>
          <w:b/>
          <w:bCs/>
          <w:color w:val="1E293B"/>
        </w:rPr>
      </w:pPr>
    </w:p>
    <w:p w14:paraId="4C7E0BE3" w14:textId="77777777" w:rsidR="00D52832" w:rsidRDefault="00D52832" w:rsidP="00D52832">
      <w:pPr>
        <w:rPr>
          <w:b/>
          <w:bCs/>
          <w:sz w:val="32"/>
          <w:szCs w:val="32"/>
          <w:highlight w:val="cyan"/>
          <w:rtl/>
        </w:rPr>
      </w:pPr>
      <w:r w:rsidRPr="00D52832">
        <w:rPr>
          <w:b/>
          <w:bCs/>
          <w:sz w:val="32"/>
          <w:szCs w:val="32"/>
          <w:highlight w:val="cyan"/>
        </w:rPr>
        <w:lastRenderedPageBreak/>
        <w:t xml:space="preserve">PAGE 02: SALES TRENDS &amp; CHANNEL DYNAMICS | TEMPORAL &amp; COMMERCIAL ANALYSIS </w:t>
      </w:r>
    </w:p>
    <w:p w14:paraId="02F044AA" w14:textId="0E5099ED" w:rsidR="00D52832" w:rsidRPr="00D52832" w:rsidRDefault="00D52832" w:rsidP="00D52832">
      <w:pPr>
        <w:rPr>
          <w:b/>
          <w:bCs/>
          <w:sz w:val="32"/>
          <w:szCs w:val="32"/>
          <w:highlight w:val="cyan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2DC35B" wp14:editId="5B30897E">
            <wp:extent cx="5943600" cy="3305175"/>
            <wp:effectExtent l="76200" t="114300" r="76200" b="47625"/>
            <wp:docPr id="214458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84589" name="Picture 2144584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9AE22D" w14:textId="77777777" w:rsidR="00D52832" w:rsidRPr="00D52832" w:rsidRDefault="00D52832" w:rsidP="00D52832">
      <w:pPr>
        <w:rPr>
          <w:b/>
          <w:bCs/>
          <w:color w:val="2563EB"/>
        </w:rPr>
      </w:pPr>
      <w:r w:rsidRPr="00D52832">
        <w:rPr>
          <w:b/>
          <w:bCs/>
          <w:color w:val="2563EB"/>
        </w:rPr>
        <w:t xml:space="preserve">1. Management Question When do sales rise or fall during the year, and which sales channel drives the change? (All financial values in USD) </w:t>
      </w:r>
    </w:p>
    <w:p w14:paraId="42E3A29A" w14:textId="77777777" w:rsidR="00D52832" w:rsidRPr="00D52832" w:rsidRDefault="00D52832" w:rsidP="00D52832">
      <w:pPr>
        <w:rPr>
          <w:b/>
          <w:bCs/>
          <w:color w:val="2563EB"/>
        </w:rPr>
      </w:pPr>
      <w:r w:rsidRPr="00D52832">
        <w:rPr>
          <w:b/>
          <w:bCs/>
          <w:color w:val="2563EB"/>
        </w:rPr>
        <w:t>2. Key Performance Indicators (KPIs Summary — Year 2025)</w:t>
      </w:r>
    </w:p>
    <w:p w14:paraId="31E1C803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Net Sales (USD): $13.77M (for the selected period: Year 2025). </w:t>
      </w:r>
    </w:p>
    <w:p w14:paraId="3DC2DB4E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YoY Growth %: +23.75% compared to the prior year. </w:t>
      </w:r>
    </w:p>
    <w:p w14:paraId="77640C5C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MoM Change %: +1.68%. </w:t>
      </w:r>
    </w:p>
    <w:p w14:paraId="543B1B22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Discount Rate %: 9.52%. </w:t>
      </w:r>
    </w:p>
    <w:p w14:paraId="7A8CCEF9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Average Order Value (AOV - USD): $959.49 per order. </w:t>
      </w:r>
    </w:p>
    <w:p w14:paraId="06ED2EAE" w14:textId="77777777" w:rsidR="00D52832" w:rsidRPr="00D52832" w:rsidRDefault="00D52832" w:rsidP="00D52832">
      <w:pPr>
        <w:rPr>
          <w:b/>
          <w:bCs/>
          <w:color w:val="2563EB"/>
        </w:rPr>
      </w:pPr>
      <w:r w:rsidRPr="00D52832">
        <w:rPr>
          <w:b/>
          <w:bCs/>
          <w:color w:val="2563EB"/>
        </w:rPr>
        <w:t>3. Visual &amp; Dimensional Breakdown</w:t>
      </w:r>
    </w:p>
    <w:p w14:paraId="54248561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Monthly Net Sales Trend: Sales open in January at $1.14M before dipping to the annual low in February and March ($1.06M each). Revenue rebounds in Q2, reaching $1.19M in April and holding steady through May ($1.18M) and June ($1.17M), followed by a mild mid-summer dip in July ($1.12M). The strongest growth wave </w:t>
      </w:r>
      <w:r w:rsidRPr="00D52832">
        <w:rPr>
          <w:b/>
          <w:bCs/>
          <w:color w:val="1E293B"/>
        </w:rPr>
        <w:lastRenderedPageBreak/>
        <w:t xml:space="preserve">builds from August ($1.16M) through September ($1.22M), peaking in October at $1.26M, before moderating to $1.11M in November and December. </w:t>
      </w:r>
    </w:p>
    <w:p w14:paraId="181DAE9C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Sales Channel Performance: Revenue in 2025 is well-diversified across all four commercial channels, led by the Partner channel at $3.6M (~26.1% of total sales), followed closely by Wholesale ($3.5M), Online ($3.4M), and Retail ($3.3M). </w:t>
      </w:r>
    </w:p>
    <w:p w14:paraId="45C05E61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Top Performing Branches: Munich South leads branch-level net sales in 2025 with $0.90M, followed closely by Abu Dhabi Centre ($0.88M) and Alexandria Port ($0.83M), while Singapore Trade, Riyadh Central, and Mumbai West are tied at $0.81M each. </w:t>
      </w:r>
    </w:p>
    <w:p w14:paraId="7FF1828E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Discount Rate vs. Profit Margin &amp; Sales Size (Scatter Analysis): The majority of transactions cluster within a 6% to 12% discount band (averaging 9.52%), sustaining healthy Gross Profit Margins between 20% and 55%. However, outlier transactions pushed past 14%–16% discount rates show compressed profit margins dropping toward 10%–15% without generating proportionally larger bubble sizes (sales volume). </w:t>
      </w:r>
    </w:p>
    <w:p w14:paraId="6F2A8130" w14:textId="5C543C99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Executive Finding (Data-Driven Insight — Correlation vs. Causation) In 2025, the company achieved strong annual growth (+23.75% YoY, reaching $13.77M in Net Sales) with a high Average Order Value of $959.49. Seasonality peaks sharply in late Q3 and early Q4 (September at $1.22M and October at $1.26M), while B2B-oriented channels (Partner at $3.6M and Wholesale at $3.5M) collectively drive over 51.5% of total revenue. Crucially, the scatter analysis reveals that offering discounts above 12% correlates with severe margin erosion rather than larger transaction sizes; higher discounting does not causally drive larger order volumes compared to the optimal 8%–10% discount range. </w:t>
      </w:r>
    </w:p>
    <w:p w14:paraId="4CAAF52A" w14:textId="77777777" w:rsidR="00D52832" w:rsidRPr="00D52832" w:rsidRDefault="00D52832" w:rsidP="00D52832">
      <w:pPr>
        <w:rPr>
          <w:b/>
          <w:bCs/>
          <w:color w:val="2563EB"/>
        </w:rPr>
      </w:pPr>
      <w:r w:rsidRPr="00D52832">
        <w:rPr>
          <w:b/>
          <w:bCs/>
          <w:color w:val="2563EB"/>
        </w:rPr>
        <w:t>5. Actionable Recommendation</w:t>
      </w:r>
    </w:p>
    <w:p w14:paraId="558C274B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Enforce a Tiered Discount Cap: Establish a standard discount ceiling at 10%–11%, requiring executive approval and strict minimum order volume thresholds for any promotional discount exceeding 12% to prevent unnecessary margin leakage. </w:t>
      </w:r>
    </w:p>
    <w:p w14:paraId="7CCC5CAE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Capitalize on Q3/Q4 Peaks &amp; Stimulate Q1 Troughs: Lock in early volume commitments across Partner and Wholesale channels ahead of the September–October peak season, while deploying targeted bundle promotions in February and March to lift revenue above the $1.06M seasonal floor. </w:t>
      </w:r>
    </w:p>
    <w:p w14:paraId="470C89C1" w14:textId="77777777" w:rsidR="00D52832" w:rsidRPr="00D52832" w:rsidRDefault="00D52832" w:rsidP="00D52832">
      <w:pPr>
        <w:rPr>
          <w:b/>
          <w:bCs/>
          <w:color w:val="2563EB"/>
        </w:rPr>
      </w:pPr>
      <w:r w:rsidRPr="00D52832">
        <w:rPr>
          <w:b/>
          <w:bCs/>
          <w:color w:val="2563EB"/>
        </w:rPr>
        <w:t>6. Units, Timeframe &amp; Sources of Uncertainty (Data Governance)</w:t>
      </w:r>
    </w:p>
    <w:p w14:paraId="470D8568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Units &amp; Currency: All financial metrics are reported in US Dollars (USD) (Millions $M for aggregated trends, exact USD for AOV); growth and discount metrics are expressed in percentages (%). </w:t>
      </w:r>
    </w:p>
    <w:p w14:paraId="6CC3CDE1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lastRenderedPageBreak/>
        <w:t xml:space="preserve">Time Horizon: Filtered specifically to Year = 2025 across all months, sales channels, and regions. </w:t>
      </w:r>
    </w:p>
    <w:p w14:paraId="2EBE2E8B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>Sources of Uncertainty &amp; Data Caveats:</w:t>
      </w:r>
    </w:p>
    <w:p w14:paraId="510C636F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 xml:space="preserve">MoM % Aggregation Context: Because </w:t>
      </w:r>
      <w:proofErr w:type="spellStart"/>
      <w:r w:rsidRPr="00D52832">
        <w:rPr>
          <w:b/>
          <w:bCs/>
          <w:color w:val="1E293B"/>
        </w:rPr>
        <w:t>MonthName</w:t>
      </w:r>
      <w:proofErr w:type="spellEnd"/>
      <w:r w:rsidRPr="00D52832">
        <w:rPr>
          <w:b/>
          <w:bCs/>
          <w:color w:val="1E293B"/>
        </w:rPr>
        <w:t xml:space="preserve"> is set to All, the 1.68% MoM Change reflects the terminal month comparison (December vs. November) or full-year period logic; users should filter a specific month to evaluate isolated monthly momentum. </w:t>
      </w:r>
    </w:p>
    <w:p w14:paraId="634F8A77" w14:textId="77777777" w:rsidR="00D52832" w:rsidRPr="00D52832" w:rsidRDefault="00D52832" w:rsidP="00D52832">
      <w:pPr>
        <w:numPr>
          <w:ilvl w:val="0"/>
          <w:numId w:val="4"/>
        </w:numPr>
        <w:rPr>
          <w:b/>
          <w:bCs/>
          <w:color w:val="1E293B"/>
        </w:rPr>
      </w:pPr>
      <w:r w:rsidRPr="00D52832">
        <w:rPr>
          <w:b/>
          <w:bCs/>
          <w:color w:val="1E293B"/>
        </w:rPr>
        <w:t>Slicer Scope Variance vs. Page 01: Page 02 displays $13.77M because the Year slicer is filtered to 2025, whereas Page 01 displayed $32.85M across all historical years combined (Year = All)</w:t>
      </w:r>
    </w:p>
    <w:p w14:paraId="15ADE8F5" w14:textId="77777777" w:rsidR="00D52832" w:rsidRDefault="00D52832" w:rsidP="00D52832">
      <w:pPr>
        <w:ind w:left="720"/>
        <w:rPr>
          <w:b/>
          <w:bCs/>
          <w:color w:val="1E293B"/>
          <w:rtl/>
        </w:rPr>
      </w:pPr>
    </w:p>
    <w:p w14:paraId="591F71C7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4F95CF3F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4803A200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71003410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652543E3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5C4CC62B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2EE91358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612CDE5A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6B0140A7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4D31C9ED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017EDB29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765AD889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15CB9580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4A13B3CE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3A2AB3AF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00E8878D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1571BB5C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381D7F5C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26ED433C" w14:textId="77777777" w:rsidR="00384D98" w:rsidRDefault="00384D98" w:rsidP="00384D98">
      <w:pPr>
        <w:rPr>
          <w:b/>
          <w:bCs/>
          <w:sz w:val="32"/>
          <w:szCs w:val="32"/>
          <w:highlight w:val="cyan"/>
          <w:rtl/>
        </w:rPr>
      </w:pPr>
      <w:r w:rsidRPr="00384D98">
        <w:rPr>
          <w:b/>
          <w:bCs/>
          <w:sz w:val="32"/>
          <w:szCs w:val="32"/>
          <w:highlight w:val="cyan"/>
        </w:rPr>
        <w:lastRenderedPageBreak/>
        <w:t xml:space="preserve">PAGE 03: CUSTOMER SEGMENTATION &amp; MARKET CONCENTRATION | PARETO &amp; TOP CLIENT ANALYSIS </w:t>
      </w:r>
    </w:p>
    <w:p w14:paraId="677BAF24" w14:textId="4D13B3D4" w:rsidR="00384D98" w:rsidRPr="00384D98" w:rsidRDefault="00384D98" w:rsidP="00384D98">
      <w:pPr>
        <w:rPr>
          <w:b/>
          <w:bCs/>
          <w:sz w:val="32"/>
          <w:szCs w:val="32"/>
          <w:highlight w:val="cyan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7E6A569" wp14:editId="2465A9B5">
            <wp:extent cx="5943600" cy="3291205"/>
            <wp:effectExtent l="76200" t="114300" r="76200" b="42545"/>
            <wp:docPr id="1615335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35219" name="Picture 1615335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90C17" w14:textId="77777777" w:rsidR="00384D98" w:rsidRPr="00384D98" w:rsidRDefault="00384D98" w:rsidP="00384D98">
      <w:pPr>
        <w:rPr>
          <w:b/>
          <w:bCs/>
          <w:color w:val="2563EB"/>
        </w:rPr>
      </w:pPr>
      <w:r w:rsidRPr="00384D98">
        <w:rPr>
          <w:b/>
          <w:bCs/>
          <w:color w:val="2563EB"/>
        </w:rPr>
        <w:t xml:space="preserve">1. Management Question Which customer segments and geographic markets drive sales, and does the company rely on a limited customer base? (All financial values in USD) </w:t>
      </w:r>
    </w:p>
    <w:p w14:paraId="6291D081" w14:textId="77777777" w:rsidR="00384D98" w:rsidRPr="00384D98" w:rsidRDefault="00384D98" w:rsidP="00384D98">
      <w:pPr>
        <w:rPr>
          <w:b/>
          <w:bCs/>
          <w:color w:val="2563EB"/>
        </w:rPr>
      </w:pPr>
      <w:r w:rsidRPr="00384D98">
        <w:rPr>
          <w:b/>
          <w:bCs/>
          <w:color w:val="2563EB"/>
        </w:rPr>
        <w:t>2. Key Performance Indicators (KPIs Summary)</w:t>
      </w:r>
    </w:p>
    <w:p w14:paraId="0EF8D256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Active Customers: 1K (~1,200 exact buying customers recorded in the detailed matrix). </w:t>
      </w:r>
    </w:p>
    <w:p w14:paraId="7AA9EF2D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Sales Per Customer (USD): $27.35K average lifetime/period revenue per customer. </w:t>
      </w:r>
    </w:p>
    <w:p w14:paraId="64498B8E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Repeat Customers: 1K customers. </w:t>
      </w:r>
    </w:p>
    <w:p w14:paraId="747BAA50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Repeat Customer Rate %: 100.00% (Every active customer placed multiple orders across the analyzed period). </w:t>
      </w:r>
    </w:p>
    <w:p w14:paraId="4741B633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Average Orders per Customer: 29.22 orders per customer. </w:t>
      </w:r>
    </w:p>
    <w:p w14:paraId="3EF7952C" w14:textId="77777777" w:rsidR="00384D98" w:rsidRPr="00384D98" w:rsidRDefault="00384D98" w:rsidP="00384D98">
      <w:pPr>
        <w:rPr>
          <w:b/>
          <w:bCs/>
          <w:color w:val="2563EB"/>
        </w:rPr>
      </w:pPr>
      <w:r w:rsidRPr="00384D98">
        <w:rPr>
          <w:b/>
          <w:bCs/>
          <w:color w:val="2563EB"/>
        </w:rPr>
        <w:t>3. Visual &amp; Dimensional Breakdown</w:t>
      </w:r>
    </w:p>
    <w:p w14:paraId="3B22A03C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Net Sales by Customer Segment: The Consumer segment is the primary revenue driver at $13,054.82K ($13.05M) across 485 customers (~39.8% of total segment sales). It is followed by Small Business ($7,263.94K), Enterprise ($6,276.19K), and Corporate ($6,160.65K), with $90.82K attributed to an unclassified Unknown segment. </w:t>
      </w:r>
    </w:p>
    <w:p w14:paraId="3A6A032D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lastRenderedPageBreak/>
        <w:t xml:space="preserve">Geographic Concentration (Net Sales by Country): The United States leads all markets by a substantial margin at $8.4M (~25.6% of total revenue), nearly doubling the second-largest market, the United Kingdom ($4.8M). Other key markets include the United Arab Emirates ($4.3M), Germany ($3.7M), Egypt ($3.3M), India ($3.2M), France ($2.7M), and Saudi Arabia ($2.3M). </w:t>
      </w:r>
    </w:p>
    <w:p w14:paraId="1008A5F9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Customer Value Pareto &amp; Top 10 High-Value Clients: The top individual customer is Robin Scott ($0.32M), followed by Riley Saleh ($0.26M), Nora Taylor ($0.24M), and Dana Taylor ($0.20M), while the remaining Top 10 clients contribute between $0.18M and $0.19M each. Combined, the Top 10 customers generate $2.12M, representing only ~6.5% of total customer revenue ($32,755,590). </w:t>
      </w:r>
    </w:p>
    <w:p w14:paraId="36D40604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Segment &amp; Country Matrix (Consumer Breakdown): Within the leading Consumer segment (485 customers | $13.05M), the United Kingdom leads with 78 customers ($2.08M), followed by the UAE (60 customers | $1.57M), Germany (54 customers | $1.44M), France (51 customers | $1.37M), Egypt (42 customers | $1.21M), Saudi Arabia (34 customers | $1.00M), and India (39 customers | $0.99M). </w:t>
      </w:r>
    </w:p>
    <w:p w14:paraId="20228305" w14:textId="77777777" w:rsidR="00384D98" w:rsidRDefault="00384D98" w:rsidP="00384D98">
      <w:pPr>
        <w:ind w:left="720"/>
        <w:rPr>
          <w:b/>
          <w:bCs/>
          <w:color w:val="1E293B"/>
          <w:rtl/>
        </w:rPr>
      </w:pPr>
      <w:r w:rsidRPr="00384D98">
        <w:rPr>
          <w:b/>
          <w:bCs/>
          <w:color w:val="2563EB"/>
        </w:rPr>
        <w:t>4. Executive Finding (Data-Driven Insight — Correlation vs. Causation) The company does not suffer from single-client concentration risk:</w:t>
      </w:r>
      <w:r w:rsidRPr="00384D98">
        <w:rPr>
          <w:b/>
          <w:bCs/>
          <w:color w:val="1E293B"/>
        </w:rPr>
        <w:t xml:space="preserve"> </w:t>
      </w:r>
    </w:p>
    <w:p w14:paraId="7EF7A902" w14:textId="50E945AB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revenue is broadly distributed across 1,200 active customers, with the single largest account (Robin Scott at $0.32M) representing less than 1% of total sales, and the Top 10 accounts combined accounting for just ~6.5%. Furthermore, customer retention is exceptional, with a 100.00% Repeat Customer Rate and an average of 29.22 orders per client. Instead, commercial concentration occurs at the segment and country level, where the Consumer segment ($13.05M) and the United States market ($8.4M) dominate revenue. (Note: High total revenue in the Consumer segment correlates with a larger buyer headcount of 485 customers, rather than causally indicating higher per-customer spending than Corporate or Enterprise accounts). </w:t>
      </w:r>
    </w:p>
    <w:p w14:paraId="7E1B9E98" w14:textId="77777777" w:rsidR="00384D98" w:rsidRPr="00384D98" w:rsidRDefault="00384D98" w:rsidP="00384D98">
      <w:pPr>
        <w:ind w:left="720"/>
        <w:rPr>
          <w:b/>
          <w:bCs/>
          <w:color w:val="2563EB"/>
        </w:rPr>
      </w:pPr>
      <w:r w:rsidRPr="00384D98">
        <w:rPr>
          <w:b/>
          <w:bCs/>
          <w:color w:val="2563EB"/>
        </w:rPr>
        <w:t>5. Actionable Recommendation</w:t>
      </w:r>
    </w:p>
    <w:p w14:paraId="04A02A94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Upsell &amp; Expand B2B Segments (Small Business, Enterprise &amp; Corporate): Leverage the strong 100% repeat buying behavior to introduce volume-based annual contracts and account-management tiers for Small Business ($7.26M) and Enterprise ($6.28M) clients, aiming to lift average revenue per customer above the $27.35K baseline. </w:t>
      </w:r>
    </w:p>
    <w:p w14:paraId="0F8E1EE6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Diversify Geographic Growth Beyond the US: Capitalize on strong regional traction in the UAE ($4.3M), Germany ($3.7M), and Egypt ($3.3M) through localized customer acquisition campaigns to balance the heavy reliance on the US market ($8.4M). </w:t>
      </w:r>
    </w:p>
    <w:p w14:paraId="5A441AB2" w14:textId="77777777" w:rsidR="00384D98" w:rsidRPr="00384D98" w:rsidRDefault="00384D98" w:rsidP="00384D98">
      <w:pPr>
        <w:ind w:left="720"/>
        <w:rPr>
          <w:b/>
          <w:bCs/>
          <w:color w:val="2563EB"/>
        </w:rPr>
      </w:pPr>
      <w:r w:rsidRPr="00384D98">
        <w:rPr>
          <w:b/>
          <w:bCs/>
          <w:color w:val="2563EB"/>
        </w:rPr>
        <w:lastRenderedPageBreak/>
        <w:t>6. Units, Timeframe &amp; Sources of Uncertainty (Data Governance)</w:t>
      </w:r>
    </w:p>
    <w:p w14:paraId="01C100E6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Units &amp; Currency: Monetary values are reported in US Dollars (USD) (Millions $M in country/Pareto charts, Thousands $K in segment bars and KPIs, and exact USD in the matrix); customer counts are in whole numbers and thousands (K). </w:t>
      </w:r>
    </w:p>
    <w:p w14:paraId="644C300C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Time Horizon: Full historical dataset (Year = All) across all countries, segments, and regions. </w:t>
      </w:r>
    </w:p>
    <w:p w14:paraId="59DC3AEA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>Sources of Uncertainty &amp; Data Caveats:</w:t>
      </w:r>
    </w:p>
    <w:p w14:paraId="70CD0BD4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>Pareto Cumulative Line Context: In the Pareto visual, the Cumulative Sales green line tracks individual customer bars rather than rising monotonically to 100%, indicating that the DAX cumulative measure requires ALLSELECTED(</w:t>
      </w:r>
      <w:proofErr w:type="spellStart"/>
      <w:r w:rsidRPr="00384D98">
        <w:rPr>
          <w:b/>
          <w:bCs/>
          <w:color w:val="1E293B"/>
        </w:rPr>
        <w:t>Dim_</w:t>
      </w:r>
      <w:proofErr w:type="gramStart"/>
      <w:r w:rsidRPr="00384D98">
        <w:rPr>
          <w:b/>
          <w:bCs/>
          <w:color w:val="1E293B"/>
        </w:rPr>
        <w:t>Customers</w:t>
      </w:r>
      <w:proofErr w:type="spellEnd"/>
      <w:r w:rsidRPr="00384D98">
        <w:rPr>
          <w:b/>
          <w:bCs/>
          <w:color w:val="1E293B"/>
        </w:rPr>
        <w:t>[</w:t>
      </w:r>
      <w:proofErr w:type="spellStart"/>
      <w:proofErr w:type="gramEnd"/>
      <w:r w:rsidRPr="00384D98">
        <w:rPr>
          <w:b/>
          <w:bCs/>
          <w:color w:val="1E293B"/>
        </w:rPr>
        <w:t>CustomerName</w:t>
      </w:r>
      <w:proofErr w:type="spellEnd"/>
      <w:r w:rsidRPr="00384D98">
        <w:rPr>
          <w:b/>
          <w:bCs/>
          <w:color w:val="1E293B"/>
        </w:rPr>
        <w:t xml:space="preserve">]) rank-order context to display a traditional 80/20 cumulative curve. </w:t>
      </w:r>
    </w:p>
    <w:p w14:paraId="4DDF7533" w14:textId="77777777" w:rsid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Unmapped Segment Records &amp; Rounding: $90.82K in Net Sales is tied to an Unknown segment (and the matrix total of $32.76M vs. Page 01's $32.85M reflects ~$90K in </w:t>
      </w:r>
    </w:p>
    <w:p w14:paraId="054BC8A5" w14:textId="31741892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>transactions without mapped customer attributes), while the KPI card rounds 1,200 customers to 1K</w:t>
      </w:r>
    </w:p>
    <w:p w14:paraId="38345772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1DFF785F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2582FC7F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5AD1FB5B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7F1B08ED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6866183C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7351AA2E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10F09009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5ED4DF2F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650A820A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279CC56C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12DC0638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4FC134AE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4E9064B8" w14:textId="77777777" w:rsidR="00384D98" w:rsidRDefault="00384D98" w:rsidP="00D52832">
      <w:pPr>
        <w:ind w:left="720"/>
        <w:rPr>
          <w:b/>
          <w:bCs/>
          <w:color w:val="1E293B"/>
          <w:rtl/>
        </w:rPr>
      </w:pPr>
    </w:p>
    <w:p w14:paraId="40228694" w14:textId="77777777" w:rsidR="00384D98" w:rsidRDefault="00384D98" w:rsidP="00384D98">
      <w:pPr>
        <w:rPr>
          <w:b/>
          <w:bCs/>
          <w:sz w:val="32"/>
          <w:szCs w:val="32"/>
          <w:highlight w:val="cyan"/>
          <w:rtl/>
        </w:rPr>
      </w:pPr>
      <w:r w:rsidRPr="00384D98">
        <w:rPr>
          <w:b/>
          <w:bCs/>
          <w:sz w:val="32"/>
          <w:szCs w:val="32"/>
          <w:highlight w:val="cyan"/>
        </w:rPr>
        <w:t>PAGE 04: PRODUCT PORTFOLIO &amp; PROFITABILITY | MARGIN &amp; ABC ANALYSIS</w:t>
      </w:r>
    </w:p>
    <w:p w14:paraId="7CCA088A" w14:textId="0FD1FD14" w:rsidR="00384D98" w:rsidRPr="00384D98" w:rsidRDefault="00384D98" w:rsidP="00384D98">
      <w:pPr>
        <w:rPr>
          <w:b/>
          <w:bCs/>
          <w:sz w:val="32"/>
          <w:szCs w:val="32"/>
          <w:highlight w:val="cyan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E6B0E0" wp14:editId="320A061F">
            <wp:extent cx="5943600" cy="3288030"/>
            <wp:effectExtent l="76200" t="114300" r="76200" b="45720"/>
            <wp:docPr id="1502579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9438" name="Picture 15025794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1AEB7" w14:textId="77777777" w:rsidR="00384D98" w:rsidRPr="00384D98" w:rsidRDefault="00384D98" w:rsidP="00384D98">
      <w:pPr>
        <w:numPr>
          <w:ilvl w:val="0"/>
          <w:numId w:val="13"/>
        </w:numPr>
        <w:rPr>
          <w:b/>
          <w:bCs/>
          <w:color w:val="2563EB"/>
        </w:rPr>
      </w:pPr>
      <w:r w:rsidRPr="00384D98">
        <w:rPr>
          <w:b/>
          <w:bCs/>
          <w:color w:val="2563EB"/>
        </w:rPr>
        <w:t xml:space="preserve">Management Question: Which products and categories are most profitable, and is the top-selling product also the highest-margin one? </w:t>
      </w:r>
    </w:p>
    <w:p w14:paraId="7AE858E0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Key Metrics: Net Sales: $32.85M | Gross Profit: $12.09M (36.81% margin) | Active Products: 225. </w:t>
      </w:r>
    </w:p>
    <w:p w14:paraId="3EA684A2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Visual Breakdown: Home &amp; Office leads sales ($6.72M | $2.59M profit), while Automotive achieves the highest profit margin at 43.58% ($2.00M sales). Packaging has the lowest margin (31.90%). Class A products generate $23M in sales. </w:t>
      </w:r>
    </w:p>
    <w:p w14:paraId="153B0D0D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Executive Finding: Top-selling categories do not yield the highest profit margins (Automotive leads margins at 43.58%, while Home &amp; Office leads volume). High-volume items cluster around average margins (~36%). </w:t>
      </w:r>
    </w:p>
    <w:p w14:paraId="1570692B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Actionable Recommendation: Re-engineer pricing/costs in Packaging and Electronics (33.18% margin) and rationalize over 120 low-yielding Class C SKUs. </w:t>
      </w:r>
    </w:p>
    <w:p w14:paraId="147F4800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Data Caveats: An outlier data point in the profit margin scatter plot requires cleaning (Profit Margin % &lt;= 100%). </w:t>
      </w:r>
    </w:p>
    <w:p w14:paraId="539FFEAB" w14:textId="77777777" w:rsidR="00384D98" w:rsidRDefault="00384D98" w:rsidP="00384D98">
      <w:pPr>
        <w:rPr>
          <w:b/>
          <w:bCs/>
          <w:sz w:val="32"/>
          <w:szCs w:val="32"/>
          <w:highlight w:val="cyan"/>
          <w:rtl/>
        </w:rPr>
      </w:pPr>
      <w:r w:rsidRPr="00384D98">
        <w:rPr>
          <w:b/>
          <w:bCs/>
          <w:sz w:val="32"/>
          <w:szCs w:val="32"/>
          <w:highlight w:val="cyan"/>
        </w:rPr>
        <w:lastRenderedPageBreak/>
        <w:t>PAGE 05: BRANCH &amp; EMPLOYEE PERFORMANCE | TARGET &amp; PROFIT CONTRIBUTION</w:t>
      </w:r>
    </w:p>
    <w:p w14:paraId="45190F60" w14:textId="700B38C8" w:rsidR="00384D98" w:rsidRPr="00384D98" w:rsidRDefault="00384D98" w:rsidP="00384D98">
      <w:pPr>
        <w:rPr>
          <w:b/>
          <w:bCs/>
          <w:sz w:val="32"/>
          <w:szCs w:val="32"/>
          <w:highlight w:val="cyan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98E3714" wp14:editId="69DC92DF">
            <wp:extent cx="5943600" cy="3295015"/>
            <wp:effectExtent l="76200" t="114300" r="76200" b="38735"/>
            <wp:docPr id="1901494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4283" name="Picture 19014942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F9C7AE" w14:textId="77777777" w:rsidR="00384D98" w:rsidRPr="00384D98" w:rsidRDefault="00384D98" w:rsidP="00384D98">
      <w:pPr>
        <w:numPr>
          <w:ilvl w:val="0"/>
          <w:numId w:val="13"/>
        </w:numPr>
        <w:rPr>
          <w:b/>
          <w:bCs/>
          <w:color w:val="2563EB"/>
        </w:rPr>
      </w:pPr>
      <w:r w:rsidRPr="00384D98">
        <w:rPr>
          <w:b/>
          <w:bCs/>
          <w:color w:val="2563EB"/>
        </w:rPr>
        <w:t xml:space="preserve">Management Question: Which branch achieves its target, and which employees generate real profit rather than just sales volume? </w:t>
      </w:r>
    </w:p>
    <w:p w14:paraId="786E24B7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Key Metrics: Net Sales: $32.85M | Target Attainment: 4.46% | Active Branches: 13 | Active Employees: 46. </w:t>
      </w:r>
    </w:p>
    <w:p w14:paraId="34837DC3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Visual Breakdown: Munich South leads actual sales ($2.06M), while Abu Dhabi Centre leads branch profit ($758.3K | 38.24% margin). Alex Hall ($304K profit) and Riley Saleh ($279K profit) top employee contributions. </w:t>
      </w:r>
    </w:p>
    <w:p w14:paraId="337C704A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Executive Finding: No branch meets its system target due to a ~20x target inflation (~$40M target vs. ~$2M actual run-rate). Operational profit varies: Abu Dhabi outperforms Cairo East (33.97% margin). Daniel Saleh generates high sales volume but lower profit margins compared to peers. </w:t>
      </w:r>
    </w:p>
    <w:p w14:paraId="47ECA78A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Actionable Recommendation: Re-align branch targets with historical run-rates and tie employee commissions to Gross Profit rather than revenue volume alone. </w:t>
      </w:r>
    </w:p>
    <w:p w14:paraId="5CE43F1C" w14:textId="77777777" w:rsidR="00384D98" w:rsidRPr="00384D98" w:rsidRDefault="00384D98" w:rsidP="00384D98">
      <w:pPr>
        <w:numPr>
          <w:ilvl w:val="0"/>
          <w:numId w:val="4"/>
        </w:numPr>
        <w:rPr>
          <w:b/>
          <w:bCs/>
          <w:color w:val="1E293B"/>
        </w:rPr>
      </w:pPr>
      <w:r w:rsidRPr="00384D98">
        <w:rPr>
          <w:b/>
          <w:bCs/>
          <w:color w:val="1E293B"/>
        </w:rPr>
        <w:t xml:space="preserve">Data Caveats: $222K in profit is tied to an Unknown Employee, and achieved percentage formatting requires conditional logic adjustment. </w:t>
      </w:r>
    </w:p>
    <w:p w14:paraId="2F2A88F0" w14:textId="77777777" w:rsidR="00384D98" w:rsidRPr="00D52832" w:rsidRDefault="00384D98" w:rsidP="00384D98">
      <w:pPr>
        <w:numPr>
          <w:ilvl w:val="0"/>
          <w:numId w:val="4"/>
        </w:numPr>
        <w:rPr>
          <w:rFonts w:hint="cs"/>
          <w:b/>
          <w:bCs/>
          <w:color w:val="1E293B"/>
          <w:rtl/>
        </w:rPr>
      </w:pPr>
    </w:p>
    <w:sectPr w:rsidR="00384D98" w:rsidRPr="00D52832" w:rsidSect="00E44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5AF"/>
    <w:multiLevelType w:val="multilevel"/>
    <w:tmpl w:val="8878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B358C"/>
    <w:multiLevelType w:val="multilevel"/>
    <w:tmpl w:val="FD9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418E"/>
    <w:multiLevelType w:val="multilevel"/>
    <w:tmpl w:val="44E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46738"/>
    <w:multiLevelType w:val="multilevel"/>
    <w:tmpl w:val="4B1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1513E"/>
    <w:multiLevelType w:val="multilevel"/>
    <w:tmpl w:val="121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01995"/>
    <w:multiLevelType w:val="multilevel"/>
    <w:tmpl w:val="4E16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31933"/>
    <w:multiLevelType w:val="multilevel"/>
    <w:tmpl w:val="FC5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A1A0E"/>
    <w:multiLevelType w:val="multilevel"/>
    <w:tmpl w:val="6D4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C7738"/>
    <w:multiLevelType w:val="multilevel"/>
    <w:tmpl w:val="015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54B44"/>
    <w:multiLevelType w:val="multilevel"/>
    <w:tmpl w:val="8AD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B00A2"/>
    <w:multiLevelType w:val="multilevel"/>
    <w:tmpl w:val="EA3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93C13"/>
    <w:multiLevelType w:val="multilevel"/>
    <w:tmpl w:val="E4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076E7"/>
    <w:multiLevelType w:val="multilevel"/>
    <w:tmpl w:val="B46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83DCA"/>
    <w:multiLevelType w:val="multilevel"/>
    <w:tmpl w:val="41B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193259">
    <w:abstractNumId w:val="2"/>
  </w:num>
  <w:num w:numId="2" w16cid:durableId="817302761">
    <w:abstractNumId w:val="3"/>
  </w:num>
  <w:num w:numId="3" w16cid:durableId="1529951917">
    <w:abstractNumId w:val="13"/>
  </w:num>
  <w:num w:numId="4" w16cid:durableId="160629510">
    <w:abstractNumId w:val="8"/>
  </w:num>
  <w:num w:numId="5" w16cid:durableId="1619331654">
    <w:abstractNumId w:val="12"/>
  </w:num>
  <w:num w:numId="6" w16cid:durableId="2059545831">
    <w:abstractNumId w:val="7"/>
  </w:num>
  <w:num w:numId="7" w16cid:durableId="1042050512">
    <w:abstractNumId w:val="5"/>
  </w:num>
  <w:num w:numId="8" w16cid:durableId="526065944">
    <w:abstractNumId w:val="1"/>
  </w:num>
  <w:num w:numId="9" w16cid:durableId="1599633049">
    <w:abstractNumId w:val="9"/>
  </w:num>
  <w:num w:numId="10" w16cid:durableId="1591767013">
    <w:abstractNumId w:val="4"/>
  </w:num>
  <w:num w:numId="11" w16cid:durableId="527987755">
    <w:abstractNumId w:val="0"/>
  </w:num>
  <w:num w:numId="12" w16cid:durableId="418671895">
    <w:abstractNumId w:val="11"/>
  </w:num>
  <w:num w:numId="13" w16cid:durableId="1256210549">
    <w:abstractNumId w:val="6"/>
  </w:num>
  <w:num w:numId="14" w16cid:durableId="471412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83"/>
    <w:rsid w:val="001D217A"/>
    <w:rsid w:val="00384D98"/>
    <w:rsid w:val="00D52832"/>
    <w:rsid w:val="00E44F83"/>
    <w:rsid w:val="00F2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7095"/>
  <w15:chartTrackingRefBased/>
  <w15:docId w15:val="{1DAD58DC-189B-4017-9135-9952E498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F83"/>
  </w:style>
  <w:style w:type="paragraph" w:styleId="Heading1">
    <w:name w:val="heading 1"/>
    <w:basedOn w:val="Normal"/>
    <w:next w:val="Normal"/>
    <w:link w:val="Heading1Char"/>
    <w:uiPriority w:val="9"/>
    <w:qFormat/>
    <w:rsid w:val="00E4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4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4F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7F0F2-1666-4B22-BCDD-4196BC172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2212</Words>
  <Characters>12613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khuzendar</dc:creator>
  <cp:keywords/>
  <dc:description/>
  <cp:lastModifiedBy>jaber khuzendar</cp:lastModifiedBy>
  <cp:revision>1</cp:revision>
  <dcterms:created xsi:type="dcterms:W3CDTF">2026-10-28T19:57:00Z</dcterms:created>
  <dcterms:modified xsi:type="dcterms:W3CDTF">2026-10-28T20:30:00Z</dcterms:modified>
</cp:coreProperties>
</file>