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/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1" w:right="1134" w:bottom="1814" w:left="1134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libri"/>
    <w:panose1 w:val="020B0503030403020204"/>
    <w:charset w:val="00"/>
    <w:family w:val="swiss"/>
    <w:pitch w:val="variable"/>
    <w:embedRegular r:id="rIdF1" w:fontKey="{B033613C-4B90-4606-A871-FFCFE99B0212}"/>
    <w:embedBold r:id="rIdF2" w:fontKey="{5AC49B76-D564-49CD-92C3-986FEC6158BE}"/>
    <w:embedItalic r:id="rIdF3" w:fontKey="{183E01D8-52EC-4BF8-82FA-DD951E15D9DE}"/>
    <w:embedBoldItalic r:id="rIdF4" w:fontKey="{8F5F5AF2-18C8-45D4-B389-6CD84A1DFE03}"/>
  </w:font>
  <w:font w:name="Saira SemiBold">
    <w:altName w:val="Tahoma"/>
    <w:panose1 w:val="00000700000000000000"/>
    <w:charset w:val="00"/>
    <w:family w:val="swiss"/>
    <w:pitch w:val="variable"/>
    <w:embedRegular r:id="rIdF5" w:fontKey="{225EE47C-1665-41EC-B848-491DD0F082A7}"/>
  </w:font>
  <w:font w:name="Saira">
    <w:altName w:val="Tahoma"/>
    <w:panose1 w:val="00000500000000000000"/>
    <w:charset w:val="00"/>
    <w:family w:val="swiss"/>
    <w:pitch w:val="variable"/>
    <w:embedRegular r:id="rIdF6" w:fontKey="{1471AA4F-79F9-4A0D-85A6-6B8BE9FFDB09}"/>
    <w:embedBold r:id="rIdF7" w:fontKey="{4F69A10D-2400-424B-89AF-CF403FE829B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p>
    <w:pPr>
      <w:pStyle w:val="Footer"/>
      <w:tabs>
        <w:tab w:val="right" w:pos="9638"/>
      </w:tabs>
      <w:spacing w:after="0" w:before="0" w:line="200" w:lineRule="exact"/>
    </w:pPr>
    <w:r>
      <w:rPr>
        <w:rFonts w:ascii="Source Sans 3" w:cs="Source Sans 3" w:eastAsia="Source Sans 3" w:hAnsi="Source Sans 3"/>
        <w:color w:val="001A48"/>
        <w:sz w:val="16"/>
        <w:szCs w:val="16"/>
      </w:rPr>
      <w:t xml:space="preserve">Auris Nexus Technologies (Pty) Ltd</w:t>
    </w:r>
    <w:r>
      <w:rPr>
        <w:rFonts w:ascii="Source Sans 3" w:cs="Source Sans 3" w:eastAsia="Source Sans 3" w:hAnsi="Source Sans 3"/>
        <w:color w:val="BDC1C5"/>
        <w:sz w:val="16"/>
        <w:szCs w:val="16"/>
      </w:rPr>
      <w:t xml:space="preserve">   |   </w:t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Registration No. 2026/606690/07</w:t>
    </w:r>
    <w:r>
      <w:rPr>
        <w:rFonts w:ascii="Source Sans 3" w:cs="Source Sans 3" w:eastAsia="Source Sans 3" w:hAnsi="Source Sans 3"/>
        <w:color w:val="BDC1C5"/>
        <w:sz w:val="16"/>
        <w:szCs w:val="16"/>
      </w:rPr>
      <w:t xml:space="preserve">   |   </w:t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B-BBEE Level 1</w:t>
    </w:r>
    <w:r>
      <w:t xml:space="preserve">	</w:t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Page </w:t>
    </w:r>
    <w:r>
      <w:rPr>
        <w:rFonts w:ascii="Source Sans 3" w:cs="Source Sans 3" w:eastAsia="Source Sans 3" w:hAnsi="Source Sans 3"/>
        <w:color w:val="22282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 of </w:t>
    </w:r>
    <w:r>
      <w:rPr>
        <w:rFonts w:ascii="Source Sans 3" w:cs="Source Sans 3" w:eastAsia="Source Sans 3" w:hAnsi="Source Sans 3"/>
        <w:color w:val="22282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3288"/>
      <w:gridCol w:w="2494"/>
      <w:gridCol w:w="2608"/>
      <w:gridCol w:w="1247"/>
    </w:tblGrid>
    <w:tr>
      <w:tc>
        <w:tcPr>
          <w:tcW w:type="dxa" w:w="32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5"/>
              <w:szCs w:val="15"/>
            </w:rPr>
            <w:t xml:space="preserve">Auris Nexus Technologies (Pty) Ltd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Registration No. 2026/606690/07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B-BBEE Level 1</w:t>
          </w:r>
        </w:p>
      </w:tc>
      <w:tc>
        <w:tcPr>
          <w:tcW w:type="dxa" w:w="249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140 Linden Road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Sandown, Sandton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Gauteng, South Africa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4"/>
              <w:szCs w:val="14"/>
            </w:rPr>
            <w:t xml:space="preserve">T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  </w:t>
          </w:r>
          <w:hyperlink w:history="1" r:id="rIdkagwmjfpri-yru6wn4u4e">
            <w:r>
              <w:rPr>
                <w:rFonts w:ascii="Source Sans 3" w:cs="Source Sans 3" w:eastAsia="Source Sans 3" w:hAnsi="Source Sans 3"/>
                <w:color w:val="22282F"/>
                <w:sz w:val="16"/>
                <w:szCs w:val="16"/>
              </w:rPr>
              <w:t xml:space="preserve">063 122 6552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4"/>
              <w:szCs w:val="14"/>
            </w:rPr>
            <w:t xml:space="preserve">E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  </w:t>
          </w:r>
          <w:hyperlink w:history="1" r:id="rIdr1mhrxbp5c_yapodjj2tx">
            <w:r>
              <w:rPr>
                <w:rFonts w:ascii="Source Sans 3" w:cs="Source Sans 3" w:eastAsia="Source Sans 3" w:hAnsi="Source Sans 3"/>
                <w:color w:val="22282F"/>
                <w:sz w:val="16"/>
                <w:szCs w:val="16"/>
              </w:rPr>
              <w:t xml:space="preserve">info@aurisnexus.co.za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4"/>
              <w:szCs w:val="14"/>
            </w:rPr>
            <w:t xml:space="preserve">W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  </w:t>
          </w:r>
          <w:hyperlink w:history="1" r:id="rIdvq0ym254gtxhdadcjh6em">
            <w:r>
              <w:rPr>
                <w:rFonts w:ascii="Source Sans 3" w:cs="Source Sans 3" w:eastAsia="Source Sans 3" w:hAnsi="Source Sans 3"/>
                <w:color w:val="22282F"/>
                <w:sz w:val="16"/>
                <w:szCs w:val="16"/>
              </w:rPr>
              <w:t xml:space="preserve">aurisnexus.co.za</w:t>
            </w:r>
          </w:hyperlink>
        </w:p>
      </w:tc>
      <w:tc>
        <w:tcPr>
          <w:tcW w:type="dxa" w:w="124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  <w:jc w:val="righ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Page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of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652"/>
      <w:gridCol w:w="5669"/>
      <w:gridCol w:w="3317"/>
    </w:tblGrid>
    <w:tr>
      <w:trPr>
        <w:trHeight w:val="400" w:hRule="atLeast"/>
      </w:trPr>
      <w:tc>
        <w:tcPr>
          <w:tcW w:type="dxa" w:w="6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306000" cy="254155"/>
                <wp:effectExtent t="0" r="0" b="0" l="0"/>
                <wp:docPr id="1" name="Auris Nexus symbol" descr="Auris Nexus symbol" title="Auris Nex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254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6"/>
              <w:szCs w:val="16"/>
            </w:rPr>
            <w:t xml:space="preserve">Auris Nexus Technologies (Pty) Ltd</w:t>
          </w:r>
        </w:p>
      </w:tc>
      <w:tc>
        <w:tcPr>
          <w:tcW w:type="dxa" w:w="331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  <w:jc w:val="righ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Our ref: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AN/[Year]/[Number]</w:t>
          </w:r>
        </w:p>
      </w:tc>
    </w:tr>
    <w:tr>
      <w:trPr>
        <w:trHeight w:val="147" w:hRule="exact"/>
      </w:trPr>
      <w:tc>
        <w:tcPr>
          <w:tcW w:type="dxa" w:w="9638"/>
          <w:gridSpan w:val="3"/>
          <w:tcBorders>
            <w:top w:val="none" w:color="FFFFFF" w:sz="0"/>
            <w:left w:val="none" w:color="FFFFFF" w:sz="0"/>
            <w:bottom w:val="single" w:color="BDC1C5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850"/>
      <w:gridCol w:w="2324"/>
      <w:gridCol w:w="6463"/>
    </w:tblGrid>
    <w:tr>
      <w:trPr>
        <w:trHeight w:val="721" w:hRule="atLeast"/>
      </w:trPr>
      <w:tc>
        <w:tcPr>
          <w:tcW w:type="dxa" w:w="3175"/>
          <w:gridSpan w:val="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2016000" cy="457725"/>
                <wp:effectExtent t="0" r="0" b="0" l="0"/>
                <wp:docPr id="1" name="Auris Nexus Technologies logo" descr="Auris Nexus Technologies logo" title="Auris Nexus Technologi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6000" cy="45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6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line="230" w:lineRule="exact"/>
            <w:jc w:val="righ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7"/>
              <w:szCs w:val="17"/>
            </w:rPr>
            <w:t xml:space="preserve">Auris Nexus Technologies (Pty) Ltd</w:t>
          </w:r>
        </w:p>
        <w:p>
          <w:pPr>
            <w:pStyle w:val="Footer"/>
            <w:spacing w:after="0" w:line="210" w:lineRule="exact"/>
            <w:jc w:val="righ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Registration No. 2026/606690/07</w:t>
          </w:r>
          <w:r>
            <w:rPr>
              <w:rFonts w:ascii="Source Sans 3" w:cs="Source Sans 3" w:eastAsia="Source Sans 3" w:hAnsi="Source Sans 3"/>
              <w:color w:val="BDC1C5"/>
              <w:sz w:val="16"/>
              <w:szCs w:val="16"/>
            </w:rPr>
            <w:t xml:space="preserve">   |  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B-BBEE Level 1</w:t>
          </w:r>
        </w:p>
      </w:tc>
    </w:tr>
    <w:tr>
      <w:trPr>
        <w:trHeight w:val="181" w:hRule="exact"/>
      </w:trPr>
      <w:tc>
        <w:tcPr>
          <w:tcW w:type="dxa" w:w="9638"/>
          <w:gridSpan w:val="3"/>
          <w:tcBorders>
            <w:top w:val="none" w:color="FFFFFF" w:sz="0"/>
            <w:left w:val="none" w:color="FFFFFF" w:sz="0"/>
            <w:bottom w:val="single" w:color="001A48" w:sz="6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color w:val="098FB4"/>
      </w:rPr>
    </w:lvl>
    <w:lvl w:ilvl="1" w15:tentative="1">
      <w:start w:val="1"/>
      <w:numFmt w:val="bullet"/>
      <w:lvlText w:val="–"/>
      <w:lvlJc w:val="left"/>
      <w:pPr>
        <w:ind w:left="624" w:hanging="227"/>
      </w:pPr>
      <w:rPr>
        <w:color w:val="5A64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97" w:hanging="397"/>
      </w:pPr>
      <w:rPr>
        <w:color w:val="001A48"/>
      </w:rPr>
    </w:lvl>
    <w:lvl w:ilvl="1" w15:tentative="1">
      <w:start w:val="1"/>
      <w:numFmt w:val="lowerLetter"/>
      <w:lvlText w:val="(%2)"/>
      <w:lvlJc w:val="left"/>
      <w:pPr>
        <w:ind w:left="794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4" w:hanging="45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2228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5E9A"/>
      <w:u w:val="single" w:color="0B5E9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widowControl/>
      <w:spacing w:after="150" w:before="0" w:line="290" w:lineRule="auto"/>
    </w:pPr>
    <w:rPr>
      <w:rFonts w:ascii="Source Sans 3" w:cs="Source Sans 3" w:eastAsia="Source Sans 3" w:hAnsi="Source Sans 3"/>
      <w:color w:val="22282F"/>
      <w:sz w:val="21"/>
      <w:szCs w:val="21"/>
    </w:rPr>
  </w:style>
  <w:style w:type="paragraph" w:styleId="Header">
    <w:name w:val="header"/>
    <w:basedOn w:val="Normal"/>
    <w:pPr>
      <w:spacing w:after="0"/>
    </w:pPr>
    <w:rPr>
      <w:color w:val="5A646E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A646E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keepLines/>
      <w:spacing w:after="90" w:before="260" w:line="270"/>
      <w:outlineLvl w:val="0"/>
    </w:pPr>
    <w:rPr>
      <w:rFonts w:ascii="Saira SemiBold" w:cs="Saira SemiBold" w:eastAsia="Saira SemiBold" w:hAnsi="Saira SemiBold"/>
      <w:color w:val="001A48"/>
      <w:spacing w:val="4"/>
      <w:sz w:val="21"/>
      <w:szCs w:val="21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outlineLvl w:val="1"/>
    </w:pPr>
    <w:rPr>
      <w:rFonts w:ascii="Source Sans 3" w:cs="Source Sans 3" w:eastAsia="Source Sans 3" w:hAnsi="Source Sans 3"/>
      <w:b/>
      <w:bCs/>
      <w:color w:val="001A48"/>
      <w:sz w:val="21"/>
      <w:szCs w:val="21"/>
    </w:rPr>
  </w:style>
  <w:style w:type="paragraph" w:styleId="LetterDate">
    <w:name w:val="Letter Date"/>
    <w:basedOn w:val="Normal"/>
    <w:next w:val="Normal"/>
    <w:qFormat/>
    <w:pPr>
      <w:tabs>
        <w:tab w:val="right" w:pos="9638"/>
      </w:tabs>
      <w:spacing w:after="360"/>
    </w:pPr>
  </w:style>
  <w:style w:type="paragraph" w:styleId="Recipient">
    <w:name w:val="Recipient Address"/>
    <w:basedOn w:val="Normal"/>
    <w:next w:val="Recipient"/>
    <w:qFormat/>
    <w:pPr>
      <w:spacing w:after="0" w:line="270"/>
    </w:pPr>
  </w:style>
  <w:style w:type="paragraph" w:styleId="RecipientName">
    <w:name w:val="Recipient Name"/>
    <w:basedOn w:val="Recipient"/>
    <w:next w:val="Recipient"/>
    <w:qFormat/>
    <w:rPr>
      <w:b/>
      <w:bCs/>
      <w:color w:val="001A48"/>
    </w:rPr>
  </w:style>
  <w:style w:type="paragraph" w:styleId="Salutation">
    <w:name w:val="Salutation"/>
    <w:basedOn w:val="Normal"/>
    <w:next w:val="Subject"/>
    <w:qFormat/>
    <w:pPr>
      <w:spacing w:after="200" w:before="360"/>
    </w:pPr>
  </w:style>
  <w:style w:type="paragraph" w:styleId="Subject">
    <w:name w:val="Subject Line"/>
    <w:basedOn w:val="Normal"/>
    <w:next w:val="Normal"/>
    <w:qFormat/>
    <w:pPr>
      <w:keepNext/>
      <w:spacing w:after="220" w:before="0" w:line="270"/>
    </w:pPr>
    <w:rPr>
      <w:rFonts w:ascii="Saira SemiBold" w:cs="Saira SemiBold" w:eastAsia="Saira SemiBold" w:hAnsi="Saira SemiBold"/>
      <w:caps/>
      <w:color w:val="001A48"/>
      <w:spacing w:val="6"/>
      <w:sz w:val="20"/>
      <w:szCs w:val="20"/>
    </w:rPr>
  </w:style>
  <w:style w:type="paragraph" w:styleId="ListBulletAN">
    <w:name w:val="List Bullet"/>
    <w:basedOn w:val="Normal"/>
    <w:qFormat/>
    <w:pPr>
      <w:spacing w:after="70"/>
    </w:pPr>
  </w:style>
  <w:style w:type="paragraph" w:styleId="ListNumberAN">
    <w:name w:val="List Number"/>
    <w:basedOn w:val="Normal"/>
    <w:qFormat/>
    <w:pPr>
      <w:spacing w:after="70"/>
    </w:pPr>
  </w:style>
  <w:style w:type="paragraph" w:styleId="Closing">
    <w:name w:val="Closing"/>
    <w:basedOn w:val="Normal"/>
    <w:next w:val="SignatureSpace"/>
    <w:qFormat/>
    <w:pPr>
      <w:keepNext/>
      <w:keepLines/>
      <w:spacing w:after="0" w:before="240"/>
    </w:pPr>
  </w:style>
  <w:style w:type="paragraph" w:styleId="SignatureSpace">
    <w:name w:val="Signature Space"/>
    <w:basedOn w:val="Normal"/>
    <w:next w:val="SignatureName"/>
    <w:pPr>
      <w:keepNext/>
      <w:spacing w:after="0" w:before="0" w:line="964" w:lineRule="exact"/>
    </w:pPr>
  </w:style>
  <w:style w:type="paragraph" w:styleId="SignatureName">
    <w:name w:val="Signature Name"/>
    <w:basedOn w:val="Normal"/>
    <w:next w:val="SignatureTitle"/>
    <w:qFormat/>
    <w:pPr>
      <w:keepNext/>
      <w:keepLines/>
      <w:spacing w:after="0" w:before="0"/>
    </w:pPr>
    <w:rPr>
      <w:b/>
      <w:bCs/>
      <w:color w:val="001A48"/>
    </w:rPr>
  </w:style>
  <w:style w:type="paragraph" w:styleId="SignatureTitle">
    <w:name w:val="Signature Title"/>
    <w:basedOn w:val="Normal"/>
    <w:next w:val="Normal"/>
    <w:qFormat/>
    <w:pPr>
      <w:keepNext/>
      <w:keepLines/>
      <w:spacing w:after="0" w:before="0"/>
    </w:pPr>
  </w:style>
  <w:style w:type="paragraph" w:styleId="Enclosure">
    <w:name w:val="Enclosure"/>
    <w:basedOn w:val="Normal"/>
    <w:qFormat/>
    <w:pPr>
      <w:spacing w:after="0" w:before="360"/>
    </w:pPr>
    <w:rPr>
      <w:color w:val="5A646E"/>
      <w:sz w:val="18"/>
      <w:szCs w:val="18"/>
    </w:rPr>
  </w:style>
  <w:style w:type="paragraph" w:styleId="TableText">
    <w:name w:val="Table Text"/>
    <w:basedOn w:val="Normal"/>
    <w:qFormat/>
    <w:pPr>
      <w:spacing w:after="0" w:before="0" w:line="260"/>
    </w:pPr>
    <w:rPr>
      <w:sz w:val="19"/>
      <w:szCs w:val="19"/>
    </w:rPr>
  </w:style>
  <w:style w:type="paragraph" w:styleId="TableLabel">
    <w:name w:val="Table Label"/>
    <w:basedOn w:val="TableText"/>
    <w:qFormat/>
    <w:rPr>
      <w:rFonts w:ascii="Saira SemiBold" w:cs="Saira SemiBold" w:eastAsia="Saira SemiBold" w:hAnsi="Saira SemiBold"/>
      <w:color w:val="001A48"/>
      <w:spacing w:val="4"/>
      <w:sz w:val="16"/>
      <w:szCs w:val="16"/>
    </w:rPr>
  </w:style>
  <w:style w:type="paragraph" w:styleId="Placeholder">
    <w:name w:val="Placeholder Note"/>
    <w:basedOn w:val="Normal"/>
    <w:qFormat/>
    <w:rPr>
      <w:i/>
      <w:iCs/>
      <w:color w:val="5A646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Relationship Id="rIdF7" Type="http://schemas.openxmlformats.org/officeDocument/2006/relationships/font" Target="fonts/font7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kagwmjfpri-yru6wn4u4e" Type="http://schemas.openxmlformats.org/officeDocument/2006/relationships/hyperlink" Target="tel:+27631226552" TargetMode="External"/><Relationship Id="rIdr1mhrxbp5c_yapodjj2tx" Type="http://schemas.openxmlformats.org/officeDocument/2006/relationships/hyperlink" Target="mailto:info@aurisnexus.co.za" TargetMode="External"/><Relationship Id="rIdvq0ym254gtxhdadcjh6em" Type="http://schemas.openxmlformats.org/officeDocument/2006/relationships/hyperlink" Target="https://aurisnexus.co.za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71b070c740360352741ef426e3dd22b7911b3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9fef98a036265a112ca3df3ba4ce7fb369431f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Auris Nexus Technologies — Formal Procurement Letterhead</dc:title>
  <dc:subject>Corporate correspondence</dc:subject>
  <dc:creator>Auris Nexus Technologies (Pty) Ltd</dc:creator>
  <cp:keywords>Auris Nexus; letterhead</cp:keywords>
  <dc:description>Auris Nexus Technologies (Pty) Ltd corporate letterhead</dc:description>
  <cp:lastModifiedBy>Auris Nexus Technologies (Pty) Ltd</cp:lastModifiedBy>
  <cp:revision>1</cp:revision>
  <dcterms:created xsi:type="dcterms:W3CDTF">2026-10-01T12:54:55.013Z</dcterms:created>
  <dcterms:modified xsi:type="dcterms:W3CDTF">2026-10-01T12:54:55.013Z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