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EA5F3" w14:textId="12A195AF" w:rsidR="00C36281" w:rsidRDefault="00C36281" w:rsidP="00C36281">
      <w:pPr>
        <w:jc w:val="center"/>
        <w:rPr>
          <w:rFonts w:ascii="Palatino Linotype" w:hAnsi="Palatino Linotype"/>
        </w:rPr>
      </w:pPr>
      <w:r>
        <w:rPr>
          <w:rFonts w:ascii="Palatino Linotype" w:hAnsi="Palatino Linotype"/>
        </w:rPr>
        <w:t>Analysis of Association Between STS Category and Functional Impairment Score</w:t>
      </w:r>
    </w:p>
    <w:p w14:paraId="5839C3A2" w14:textId="054A3A92" w:rsidR="00C36281" w:rsidRDefault="00C36281" w:rsidP="00C36281">
      <w:pPr>
        <w:jc w:val="center"/>
        <w:rPr>
          <w:rFonts w:ascii="Palatino Linotype" w:hAnsi="Palatino Linotype"/>
        </w:rPr>
      </w:pPr>
      <w:r>
        <w:rPr>
          <w:rFonts w:ascii="Palatino Linotype" w:hAnsi="Palatino Linotype"/>
        </w:rPr>
        <w:t>By Jacob Gareis, 8/29/2024</w:t>
      </w:r>
    </w:p>
    <w:p w14:paraId="6DC7895E" w14:textId="77777777" w:rsidR="00C36281" w:rsidRDefault="00C36281" w:rsidP="00C36281">
      <w:pPr>
        <w:ind w:firstLine="720"/>
        <w:rPr>
          <w:rFonts w:ascii="Palatino Linotype" w:hAnsi="Palatino Linotype"/>
        </w:rPr>
      </w:pPr>
    </w:p>
    <w:p w14:paraId="55E3CDB7" w14:textId="62D0544B" w:rsidR="008D4C78" w:rsidRPr="00973812" w:rsidRDefault="008D4C78" w:rsidP="000626C2">
      <w:pPr>
        <w:rPr>
          <w:rFonts w:ascii="Palatino Linotype" w:hAnsi="Palatino Linotype"/>
        </w:rPr>
      </w:pPr>
      <w:r w:rsidRPr="00973812">
        <w:rPr>
          <w:rFonts w:ascii="Palatino Linotype" w:hAnsi="Palatino Linotype"/>
        </w:rPr>
        <w:t>STS is stress induced by exposure to student trauma and has been associated with function impairment. A box plot and table have been created to demonstrate this relationship more clearly. Shown below is a table containing the mean functional impairment score for each STS category: “Little or No STS”, “Mild STS”, “Moderate STS”, “High STS”, and “Severe STS”.</w:t>
      </w:r>
    </w:p>
    <w:p w14:paraId="00F5C199" w14:textId="77777777" w:rsidR="008D4C78" w:rsidRPr="00973812" w:rsidRDefault="008D4C78">
      <w:pPr>
        <w:rPr>
          <w:rFonts w:ascii="Palatino Linotype" w:hAnsi="Palatino Linotype"/>
        </w:rPr>
      </w:pPr>
    </w:p>
    <w:tbl>
      <w:tblPr>
        <w:tblStyle w:val="TableGrid"/>
        <w:tblW w:w="0" w:type="auto"/>
        <w:jc w:val="center"/>
        <w:tblLook w:val="04A0" w:firstRow="1" w:lastRow="0" w:firstColumn="1" w:lastColumn="0" w:noHBand="0" w:noVBand="1"/>
      </w:tblPr>
      <w:tblGrid>
        <w:gridCol w:w="3690"/>
        <w:gridCol w:w="3330"/>
      </w:tblGrid>
      <w:tr w:rsidR="008D4C78" w:rsidRPr="00973812" w14:paraId="3110875D" w14:textId="77777777" w:rsidTr="008D4C78">
        <w:trPr>
          <w:jc w:val="center"/>
        </w:trPr>
        <w:tc>
          <w:tcPr>
            <w:tcW w:w="3690" w:type="dxa"/>
            <w:tcBorders>
              <w:top w:val="nil"/>
              <w:left w:val="nil"/>
              <w:bottom w:val="single" w:sz="4" w:space="0" w:color="auto"/>
              <w:right w:val="nil"/>
            </w:tcBorders>
          </w:tcPr>
          <w:p w14:paraId="1DAFC3C0" w14:textId="3AFBC5BF" w:rsidR="008D4C78" w:rsidRPr="00973812" w:rsidRDefault="008D4C78" w:rsidP="008D4C78">
            <w:pPr>
              <w:jc w:val="center"/>
              <w:rPr>
                <w:rFonts w:ascii="Palatino Linotype" w:hAnsi="Palatino Linotype"/>
              </w:rPr>
            </w:pPr>
            <w:r w:rsidRPr="00973812">
              <w:rPr>
                <w:rFonts w:ascii="Palatino Linotype" w:hAnsi="Palatino Linotype"/>
              </w:rPr>
              <w:t>STS Category</w:t>
            </w:r>
          </w:p>
        </w:tc>
        <w:tc>
          <w:tcPr>
            <w:tcW w:w="3330" w:type="dxa"/>
            <w:tcBorders>
              <w:top w:val="nil"/>
              <w:left w:val="nil"/>
              <w:bottom w:val="single" w:sz="4" w:space="0" w:color="auto"/>
              <w:right w:val="nil"/>
            </w:tcBorders>
          </w:tcPr>
          <w:p w14:paraId="7AF556D1" w14:textId="34BF401E" w:rsidR="008D4C78" w:rsidRPr="00973812" w:rsidRDefault="008D4C78" w:rsidP="008D4C78">
            <w:pPr>
              <w:jc w:val="center"/>
              <w:rPr>
                <w:rFonts w:ascii="Palatino Linotype" w:hAnsi="Palatino Linotype"/>
              </w:rPr>
            </w:pPr>
            <w:r w:rsidRPr="00973812">
              <w:rPr>
                <w:rFonts w:ascii="Palatino Linotype" w:hAnsi="Palatino Linotype"/>
              </w:rPr>
              <w:t>Functional Impairment Score</w:t>
            </w:r>
          </w:p>
        </w:tc>
      </w:tr>
      <w:tr w:rsidR="008D4C78" w:rsidRPr="00973812" w14:paraId="116C2C86" w14:textId="77777777" w:rsidTr="008D4C78">
        <w:trPr>
          <w:jc w:val="center"/>
        </w:trPr>
        <w:tc>
          <w:tcPr>
            <w:tcW w:w="3690" w:type="dxa"/>
            <w:tcBorders>
              <w:left w:val="nil"/>
              <w:bottom w:val="nil"/>
              <w:right w:val="nil"/>
            </w:tcBorders>
          </w:tcPr>
          <w:p w14:paraId="6225C2CA" w14:textId="1EF4A898" w:rsidR="008D4C78" w:rsidRPr="00973812" w:rsidRDefault="008D4C78" w:rsidP="008D4C78">
            <w:pPr>
              <w:jc w:val="center"/>
              <w:rPr>
                <w:rFonts w:ascii="Palatino Linotype" w:hAnsi="Palatino Linotype"/>
              </w:rPr>
            </w:pPr>
            <w:r w:rsidRPr="00973812">
              <w:rPr>
                <w:rFonts w:ascii="Palatino Linotype" w:hAnsi="Palatino Linotype"/>
              </w:rPr>
              <w:t>Little or No STS</w:t>
            </w:r>
          </w:p>
        </w:tc>
        <w:tc>
          <w:tcPr>
            <w:tcW w:w="3330" w:type="dxa"/>
            <w:tcBorders>
              <w:left w:val="nil"/>
              <w:bottom w:val="nil"/>
              <w:right w:val="nil"/>
            </w:tcBorders>
          </w:tcPr>
          <w:p w14:paraId="5DAEAE93" w14:textId="54744CFA" w:rsidR="008D4C78" w:rsidRPr="00973812" w:rsidRDefault="00AE01D6" w:rsidP="008D4C78">
            <w:pPr>
              <w:jc w:val="center"/>
              <w:rPr>
                <w:rFonts w:ascii="Palatino Linotype" w:hAnsi="Palatino Linotype"/>
              </w:rPr>
            </w:pPr>
            <w:r>
              <w:rPr>
                <w:rFonts w:ascii="Palatino Linotype" w:hAnsi="Palatino Linotype"/>
              </w:rPr>
              <w:t>7.74</w:t>
            </w:r>
          </w:p>
        </w:tc>
      </w:tr>
      <w:tr w:rsidR="008D4C78" w:rsidRPr="00973812" w14:paraId="58351978" w14:textId="77777777" w:rsidTr="008D4C78">
        <w:trPr>
          <w:jc w:val="center"/>
        </w:trPr>
        <w:tc>
          <w:tcPr>
            <w:tcW w:w="3690" w:type="dxa"/>
            <w:tcBorders>
              <w:top w:val="nil"/>
              <w:left w:val="nil"/>
              <w:bottom w:val="nil"/>
              <w:right w:val="nil"/>
            </w:tcBorders>
          </w:tcPr>
          <w:p w14:paraId="7DF4D277" w14:textId="0949D67B" w:rsidR="008D4C78" w:rsidRPr="00973812" w:rsidRDefault="008D4C78" w:rsidP="008D4C78">
            <w:pPr>
              <w:jc w:val="center"/>
              <w:rPr>
                <w:rFonts w:ascii="Palatino Linotype" w:hAnsi="Palatino Linotype"/>
              </w:rPr>
            </w:pPr>
            <w:r w:rsidRPr="00973812">
              <w:rPr>
                <w:rFonts w:ascii="Palatino Linotype" w:hAnsi="Palatino Linotype"/>
              </w:rPr>
              <w:t>Mild STS</w:t>
            </w:r>
          </w:p>
        </w:tc>
        <w:tc>
          <w:tcPr>
            <w:tcW w:w="3330" w:type="dxa"/>
            <w:tcBorders>
              <w:top w:val="nil"/>
              <w:left w:val="nil"/>
              <w:bottom w:val="nil"/>
              <w:right w:val="nil"/>
            </w:tcBorders>
          </w:tcPr>
          <w:p w14:paraId="343B0B81" w14:textId="20492C24" w:rsidR="008D4C78" w:rsidRPr="00973812" w:rsidRDefault="008D4C78" w:rsidP="008D4C78">
            <w:pPr>
              <w:jc w:val="center"/>
              <w:rPr>
                <w:rFonts w:ascii="Palatino Linotype" w:hAnsi="Palatino Linotype"/>
              </w:rPr>
            </w:pPr>
            <w:r w:rsidRPr="00973812">
              <w:rPr>
                <w:rFonts w:ascii="Palatino Linotype" w:hAnsi="Palatino Linotype"/>
              </w:rPr>
              <w:t>10.6</w:t>
            </w:r>
          </w:p>
        </w:tc>
      </w:tr>
      <w:tr w:rsidR="008D4C78" w:rsidRPr="00973812" w14:paraId="3BCB295F" w14:textId="77777777" w:rsidTr="008D4C78">
        <w:trPr>
          <w:jc w:val="center"/>
        </w:trPr>
        <w:tc>
          <w:tcPr>
            <w:tcW w:w="3690" w:type="dxa"/>
            <w:tcBorders>
              <w:top w:val="nil"/>
              <w:left w:val="nil"/>
              <w:bottom w:val="nil"/>
              <w:right w:val="nil"/>
            </w:tcBorders>
          </w:tcPr>
          <w:p w14:paraId="081F06FC" w14:textId="366A5D04" w:rsidR="008D4C78" w:rsidRPr="00973812" w:rsidRDefault="008D4C78" w:rsidP="008D4C78">
            <w:pPr>
              <w:jc w:val="center"/>
              <w:rPr>
                <w:rFonts w:ascii="Palatino Linotype" w:hAnsi="Palatino Linotype"/>
              </w:rPr>
            </w:pPr>
            <w:r w:rsidRPr="00973812">
              <w:rPr>
                <w:rFonts w:ascii="Palatino Linotype" w:hAnsi="Palatino Linotype"/>
              </w:rPr>
              <w:t>Moderate STS</w:t>
            </w:r>
          </w:p>
        </w:tc>
        <w:tc>
          <w:tcPr>
            <w:tcW w:w="3330" w:type="dxa"/>
            <w:tcBorders>
              <w:top w:val="nil"/>
              <w:left w:val="nil"/>
              <w:bottom w:val="nil"/>
              <w:right w:val="nil"/>
            </w:tcBorders>
          </w:tcPr>
          <w:p w14:paraId="295BA4BA" w14:textId="6833D191" w:rsidR="008D4C78" w:rsidRPr="00973812" w:rsidRDefault="008D4C78" w:rsidP="008D4C78">
            <w:pPr>
              <w:jc w:val="center"/>
              <w:rPr>
                <w:rFonts w:ascii="Palatino Linotype" w:hAnsi="Palatino Linotype"/>
              </w:rPr>
            </w:pPr>
            <w:r w:rsidRPr="00973812">
              <w:rPr>
                <w:rFonts w:ascii="Palatino Linotype" w:hAnsi="Palatino Linotype"/>
              </w:rPr>
              <w:t>12.1</w:t>
            </w:r>
          </w:p>
        </w:tc>
      </w:tr>
      <w:tr w:rsidR="008D4C78" w:rsidRPr="00973812" w14:paraId="5CC8151E" w14:textId="77777777" w:rsidTr="008D4C78">
        <w:trPr>
          <w:jc w:val="center"/>
        </w:trPr>
        <w:tc>
          <w:tcPr>
            <w:tcW w:w="3690" w:type="dxa"/>
            <w:tcBorders>
              <w:top w:val="nil"/>
              <w:left w:val="nil"/>
              <w:bottom w:val="nil"/>
              <w:right w:val="nil"/>
            </w:tcBorders>
          </w:tcPr>
          <w:p w14:paraId="7BFEE505" w14:textId="54FDDD3F" w:rsidR="008D4C78" w:rsidRPr="00973812" w:rsidRDefault="008D4C78" w:rsidP="008D4C78">
            <w:pPr>
              <w:jc w:val="center"/>
              <w:rPr>
                <w:rFonts w:ascii="Palatino Linotype" w:hAnsi="Palatino Linotype"/>
              </w:rPr>
            </w:pPr>
            <w:r w:rsidRPr="00973812">
              <w:rPr>
                <w:rFonts w:ascii="Palatino Linotype" w:hAnsi="Palatino Linotype"/>
              </w:rPr>
              <w:t>High STS</w:t>
            </w:r>
          </w:p>
        </w:tc>
        <w:tc>
          <w:tcPr>
            <w:tcW w:w="3330" w:type="dxa"/>
            <w:tcBorders>
              <w:top w:val="nil"/>
              <w:left w:val="nil"/>
              <w:bottom w:val="nil"/>
              <w:right w:val="nil"/>
            </w:tcBorders>
          </w:tcPr>
          <w:p w14:paraId="7CA4E3E7" w14:textId="670E4C5C" w:rsidR="008D4C78" w:rsidRPr="00973812" w:rsidRDefault="008D4C78" w:rsidP="008D4C78">
            <w:pPr>
              <w:jc w:val="center"/>
              <w:rPr>
                <w:rFonts w:ascii="Palatino Linotype" w:hAnsi="Palatino Linotype"/>
              </w:rPr>
            </w:pPr>
            <w:r w:rsidRPr="00973812">
              <w:rPr>
                <w:rFonts w:ascii="Palatino Linotype" w:hAnsi="Palatino Linotype"/>
              </w:rPr>
              <w:t>16.9</w:t>
            </w:r>
          </w:p>
        </w:tc>
      </w:tr>
      <w:tr w:rsidR="008D4C78" w:rsidRPr="00973812" w14:paraId="6562356A" w14:textId="77777777" w:rsidTr="008D4C78">
        <w:trPr>
          <w:jc w:val="center"/>
        </w:trPr>
        <w:tc>
          <w:tcPr>
            <w:tcW w:w="3690" w:type="dxa"/>
            <w:tcBorders>
              <w:top w:val="nil"/>
              <w:left w:val="nil"/>
              <w:right w:val="nil"/>
            </w:tcBorders>
          </w:tcPr>
          <w:p w14:paraId="6E2C0393" w14:textId="487689FD" w:rsidR="008D4C78" w:rsidRPr="00973812" w:rsidRDefault="008D4C78" w:rsidP="008D4C78">
            <w:pPr>
              <w:jc w:val="center"/>
              <w:rPr>
                <w:rFonts w:ascii="Palatino Linotype" w:hAnsi="Palatino Linotype"/>
              </w:rPr>
            </w:pPr>
            <w:r w:rsidRPr="00973812">
              <w:rPr>
                <w:rFonts w:ascii="Palatino Linotype" w:hAnsi="Palatino Linotype"/>
              </w:rPr>
              <w:t>Severe STS</w:t>
            </w:r>
          </w:p>
        </w:tc>
        <w:tc>
          <w:tcPr>
            <w:tcW w:w="3330" w:type="dxa"/>
            <w:tcBorders>
              <w:top w:val="nil"/>
              <w:left w:val="nil"/>
              <w:right w:val="nil"/>
            </w:tcBorders>
          </w:tcPr>
          <w:p w14:paraId="29921CA9" w14:textId="4908CC82" w:rsidR="008D4C78" w:rsidRPr="00973812" w:rsidRDefault="008D4C78" w:rsidP="008D4C78">
            <w:pPr>
              <w:jc w:val="center"/>
              <w:rPr>
                <w:rFonts w:ascii="Palatino Linotype" w:hAnsi="Palatino Linotype"/>
              </w:rPr>
            </w:pPr>
            <w:r w:rsidRPr="00973812">
              <w:rPr>
                <w:rFonts w:ascii="Palatino Linotype" w:hAnsi="Palatino Linotype"/>
              </w:rPr>
              <w:t>18.8</w:t>
            </w:r>
          </w:p>
        </w:tc>
      </w:tr>
    </w:tbl>
    <w:p w14:paraId="5EA02697" w14:textId="0EB87817" w:rsidR="00044AE3" w:rsidRPr="00973812" w:rsidRDefault="00044AE3">
      <w:pPr>
        <w:rPr>
          <w:rFonts w:ascii="Palatino Linotype" w:hAnsi="Palatino Linotype"/>
        </w:rPr>
      </w:pPr>
    </w:p>
    <w:p w14:paraId="12F7D1D1" w14:textId="3E36EDCD" w:rsidR="008D4C78" w:rsidRDefault="008D4C78" w:rsidP="000626C2">
      <w:pPr>
        <w:rPr>
          <w:rFonts w:ascii="Palatino Linotype" w:hAnsi="Palatino Linotype"/>
        </w:rPr>
      </w:pPr>
      <w:r w:rsidRPr="00973812">
        <w:rPr>
          <w:rFonts w:ascii="Palatino Linotype" w:hAnsi="Palatino Linotype"/>
        </w:rPr>
        <w:t xml:space="preserve">As shown in the table, a steady increase can be seen in the functional impairment score as </w:t>
      </w:r>
      <w:r w:rsidR="003B51DF" w:rsidRPr="00973812">
        <w:rPr>
          <w:rFonts w:ascii="Palatino Linotype" w:hAnsi="Palatino Linotype"/>
        </w:rPr>
        <w:t>the STS category increases ordinally. Graphically represented by the boxplot below, this relationship is made more clear.</w:t>
      </w:r>
    </w:p>
    <w:p w14:paraId="322BAA3D" w14:textId="77777777" w:rsidR="001D344C" w:rsidRPr="00973812" w:rsidRDefault="001D344C" w:rsidP="001D344C">
      <w:pPr>
        <w:rPr>
          <w:rFonts w:ascii="Palatino Linotype" w:hAnsi="Palatino Linotype"/>
        </w:rPr>
      </w:pPr>
    </w:p>
    <w:p w14:paraId="2A1F5455" w14:textId="6E1361C4" w:rsidR="003B51DF" w:rsidRDefault="00AE01D6" w:rsidP="003B51DF">
      <w:pPr>
        <w:jc w:val="center"/>
        <w:rPr>
          <w:rFonts w:ascii="Palatino Linotype" w:hAnsi="Palatino Linotype"/>
        </w:rPr>
      </w:pPr>
      <w:r w:rsidRPr="00AE01D6">
        <w:rPr>
          <w:rFonts w:ascii="Palatino Linotype" w:hAnsi="Palatino Linotype"/>
        </w:rPr>
        <w:drawing>
          <wp:inline distT="0" distB="0" distL="0" distR="0" wp14:anchorId="789A82DA" wp14:editId="4E9C93AB">
            <wp:extent cx="3264974" cy="3260090"/>
            <wp:effectExtent l="0" t="0" r="0" b="3810"/>
            <wp:docPr id="1322454728" name="Picture 1" descr="A graph with blue squar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54728" name="Picture 1" descr="A graph with blue squares and black lines&#10;&#10;Description automatically generated"/>
                    <pic:cNvPicPr/>
                  </pic:nvPicPr>
                  <pic:blipFill>
                    <a:blip r:embed="rId4"/>
                    <a:stretch>
                      <a:fillRect/>
                    </a:stretch>
                  </pic:blipFill>
                  <pic:spPr>
                    <a:xfrm>
                      <a:off x="0" y="0"/>
                      <a:ext cx="3280107" cy="3275200"/>
                    </a:xfrm>
                    <a:prstGeom prst="rect">
                      <a:avLst/>
                    </a:prstGeom>
                  </pic:spPr>
                </pic:pic>
              </a:graphicData>
            </a:graphic>
          </wp:inline>
        </w:drawing>
      </w:r>
    </w:p>
    <w:p w14:paraId="2A60AA81" w14:textId="77777777" w:rsidR="001D344C" w:rsidRPr="00973812" w:rsidRDefault="001D344C" w:rsidP="001D344C">
      <w:pPr>
        <w:rPr>
          <w:rFonts w:ascii="Palatino Linotype" w:hAnsi="Palatino Linotype"/>
        </w:rPr>
      </w:pPr>
    </w:p>
    <w:p w14:paraId="4F43ED1C" w14:textId="5979E1DE" w:rsidR="00C36281" w:rsidRPr="00973812" w:rsidRDefault="003B51DF" w:rsidP="000626C2">
      <w:pPr>
        <w:rPr>
          <w:rFonts w:ascii="Palatino Linotype" w:hAnsi="Palatino Linotype"/>
        </w:rPr>
      </w:pPr>
      <w:r w:rsidRPr="00973812">
        <w:rPr>
          <w:rFonts w:ascii="Palatino Linotype" w:hAnsi="Palatino Linotype"/>
        </w:rPr>
        <w:t>To identify whether or not there is a significant increase in the functional impairment score as you increase in ordinal categories, a Jonckheere-Terpstra test was conducted.</w:t>
      </w:r>
      <w:r w:rsidR="00973812" w:rsidRPr="00973812">
        <w:rPr>
          <w:rFonts w:ascii="Palatino Linotype" w:hAnsi="Palatino Linotype"/>
        </w:rPr>
        <w:t xml:space="preserve"> </w:t>
      </w:r>
      <w:r w:rsidR="00973812" w:rsidRPr="00973812">
        <w:rPr>
          <w:rFonts w:ascii="Palatino Linotype" w:hAnsi="Palatino Linotype"/>
        </w:rPr>
        <w:lastRenderedPageBreak/>
        <w:t>Through this test, the increase across the categories was quantified. The following table contains the results of this test.</w:t>
      </w:r>
    </w:p>
    <w:tbl>
      <w:tblPr>
        <w:tblStyle w:val="TableGrid"/>
        <w:tblW w:w="0" w:type="auto"/>
        <w:jc w:val="center"/>
        <w:tblLook w:val="04A0" w:firstRow="1" w:lastRow="0" w:firstColumn="1" w:lastColumn="0" w:noHBand="0" w:noVBand="1"/>
      </w:tblPr>
      <w:tblGrid>
        <w:gridCol w:w="3686"/>
        <w:gridCol w:w="3326"/>
      </w:tblGrid>
      <w:tr w:rsidR="00973812" w:rsidRPr="00973812" w14:paraId="48788845" w14:textId="77777777" w:rsidTr="00973812">
        <w:trPr>
          <w:jc w:val="center"/>
        </w:trPr>
        <w:tc>
          <w:tcPr>
            <w:tcW w:w="3686" w:type="dxa"/>
            <w:tcBorders>
              <w:top w:val="nil"/>
              <w:left w:val="nil"/>
              <w:bottom w:val="single" w:sz="4" w:space="0" w:color="auto"/>
              <w:right w:val="nil"/>
            </w:tcBorders>
          </w:tcPr>
          <w:p w14:paraId="542F9DF7" w14:textId="18452734" w:rsidR="00973812" w:rsidRPr="00973812" w:rsidRDefault="00973812" w:rsidP="00973812">
            <w:pPr>
              <w:jc w:val="center"/>
              <w:rPr>
                <w:rFonts w:ascii="Palatino Linotype" w:hAnsi="Palatino Linotype"/>
              </w:rPr>
            </w:pPr>
            <w:r w:rsidRPr="00973812">
              <w:rPr>
                <w:rFonts w:ascii="Palatino Linotype" w:hAnsi="Palatino Linotype"/>
              </w:rPr>
              <w:t>Test Statistic</w:t>
            </w:r>
          </w:p>
        </w:tc>
        <w:tc>
          <w:tcPr>
            <w:tcW w:w="3326" w:type="dxa"/>
            <w:tcBorders>
              <w:top w:val="nil"/>
              <w:left w:val="nil"/>
              <w:bottom w:val="single" w:sz="4" w:space="0" w:color="auto"/>
              <w:right w:val="nil"/>
            </w:tcBorders>
          </w:tcPr>
          <w:p w14:paraId="41CBF4BB" w14:textId="268BF05D" w:rsidR="00973812" w:rsidRPr="00973812" w:rsidRDefault="00973812" w:rsidP="00973812">
            <w:pPr>
              <w:jc w:val="center"/>
              <w:rPr>
                <w:rFonts w:ascii="Palatino Linotype" w:hAnsi="Palatino Linotype"/>
              </w:rPr>
            </w:pPr>
            <w:r w:rsidRPr="00973812">
              <w:rPr>
                <w:rFonts w:ascii="Palatino Linotype" w:hAnsi="Palatino Linotype"/>
              </w:rPr>
              <w:t>p-value</w:t>
            </w:r>
          </w:p>
        </w:tc>
      </w:tr>
      <w:tr w:rsidR="00973812" w:rsidRPr="00973812" w14:paraId="118F4AA3" w14:textId="77777777" w:rsidTr="00973812">
        <w:trPr>
          <w:jc w:val="center"/>
        </w:trPr>
        <w:tc>
          <w:tcPr>
            <w:tcW w:w="3686" w:type="dxa"/>
            <w:tcBorders>
              <w:left w:val="nil"/>
              <w:bottom w:val="single" w:sz="4" w:space="0" w:color="auto"/>
              <w:right w:val="nil"/>
            </w:tcBorders>
          </w:tcPr>
          <w:p w14:paraId="53108CD7" w14:textId="79BEFD44" w:rsidR="00973812" w:rsidRPr="00973812" w:rsidRDefault="00AE01D6" w:rsidP="00973812">
            <w:pPr>
              <w:jc w:val="center"/>
              <w:rPr>
                <w:rFonts w:ascii="Palatino Linotype" w:hAnsi="Palatino Linotype"/>
              </w:rPr>
            </w:pPr>
            <w:r>
              <w:rPr>
                <w:rFonts w:ascii="Palatino Linotype" w:hAnsi="Palatino Linotype"/>
              </w:rPr>
              <w:t>9,926</w:t>
            </w:r>
          </w:p>
        </w:tc>
        <w:tc>
          <w:tcPr>
            <w:tcW w:w="3326" w:type="dxa"/>
            <w:tcBorders>
              <w:left w:val="nil"/>
              <w:right w:val="nil"/>
            </w:tcBorders>
          </w:tcPr>
          <w:p w14:paraId="3CF802C6" w14:textId="3A233EF5" w:rsidR="00973812" w:rsidRPr="00973812" w:rsidRDefault="00973812" w:rsidP="00973812">
            <w:pPr>
              <w:jc w:val="center"/>
              <w:rPr>
                <w:rFonts w:ascii="Palatino Linotype" w:hAnsi="Palatino Linotype"/>
              </w:rPr>
            </w:pPr>
            <w:r w:rsidRPr="00973812">
              <w:rPr>
                <w:rFonts w:ascii="Palatino Linotype" w:hAnsi="Palatino Linotype"/>
              </w:rPr>
              <w:t>&lt; 0.0001</w:t>
            </w:r>
          </w:p>
        </w:tc>
      </w:tr>
    </w:tbl>
    <w:p w14:paraId="2D34103C" w14:textId="77777777" w:rsidR="00C36281" w:rsidRDefault="00C36281" w:rsidP="003B51DF">
      <w:pPr>
        <w:rPr>
          <w:rFonts w:ascii="Palatino Linotype" w:hAnsi="Palatino Linotype"/>
        </w:rPr>
      </w:pPr>
    </w:p>
    <w:p w14:paraId="148365E2" w14:textId="7322DC91" w:rsidR="00973812" w:rsidRPr="00973812" w:rsidRDefault="00973812" w:rsidP="000626C2">
      <w:pPr>
        <w:rPr>
          <w:rFonts w:ascii="Palatino Linotype" w:hAnsi="Palatino Linotype"/>
        </w:rPr>
      </w:pPr>
      <w:r w:rsidRPr="00973812">
        <w:rPr>
          <w:rFonts w:ascii="Palatino Linotype" w:hAnsi="Palatino Linotype"/>
        </w:rPr>
        <w:t>The result strongly suggests that there is a statistically significant increasing trend in functional impairment scores as the STS category increases. In other words, higher levels of Secondary Traumatic Stress (STS) are associated with higher levels of functional impairment among the participants.</w:t>
      </w:r>
    </w:p>
    <w:sectPr w:rsidR="00973812" w:rsidRPr="00973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C78"/>
    <w:rsid w:val="00044AE3"/>
    <w:rsid w:val="000626C2"/>
    <w:rsid w:val="000B2B51"/>
    <w:rsid w:val="001D344C"/>
    <w:rsid w:val="003B51DF"/>
    <w:rsid w:val="00421D50"/>
    <w:rsid w:val="008D4C78"/>
    <w:rsid w:val="00973812"/>
    <w:rsid w:val="00AE01D6"/>
    <w:rsid w:val="00B73193"/>
    <w:rsid w:val="00C36281"/>
    <w:rsid w:val="00C75F09"/>
    <w:rsid w:val="00C87AD6"/>
    <w:rsid w:val="00EB138F"/>
    <w:rsid w:val="00F73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25505"/>
  <w15:chartTrackingRefBased/>
  <w15:docId w15:val="{FD49EACB-F45F-0145-85C1-9FE653FA8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C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4C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4C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4C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4C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4C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C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C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C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C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4C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4C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4C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4C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4C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C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C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C78"/>
    <w:rPr>
      <w:rFonts w:eastAsiaTheme="majorEastAsia" w:cstheme="majorBidi"/>
      <w:color w:val="272727" w:themeColor="text1" w:themeTint="D8"/>
    </w:rPr>
  </w:style>
  <w:style w:type="paragraph" w:styleId="Title">
    <w:name w:val="Title"/>
    <w:basedOn w:val="Normal"/>
    <w:next w:val="Normal"/>
    <w:link w:val="TitleChar"/>
    <w:uiPriority w:val="10"/>
    <w:qFormat/>
    <w:rsid w:val="008D4C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C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C7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C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C7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D4C78"/>
    <w:rPr>
      <w:i/>
      <w:iCs/>
      <w:color w:val="404040" w:themeColor="text1" w:themeTint="BF"/>
    </w:rPr>
  </w:style>
  <w:style w:type="paragraph" w:styleId="ListParagraph">
    <w:name w:val="List Paragraph"/>
    <w:basedOn w:val="Normal"/>
    <w:uiPriority w:val="34"/>
    <w:qFormat/>
    <w:rsid w:val="008D4C78"/>
    <w:pPr>
      <w:ind w:left="720"/>
      <w:contextualSpacing/>
    </w:pPr>
  </w:style>
  <w:style w:type="character" w:styleId="IntenseEmphasis">
    <w:name w:val="Intense Emphasis"/>
    <w:basedOn w:val="DefaultParagraphFont"/>
    <w:uiPriority w:val="21"/>
    <w:qFormat/>
    <w:rsid w:val="008D4C78"/>
    <w:rPr>
      <w:i/>
      <w:iCs/>
      <w:color w:val="0F4761" w:themeColor="accent1" w:themeShade="BF"/>
    </w:rPr>
  </w:style>
  <w:style w:type="paragraph" w:styleId="IntenseQuote">
    <w:name w:val="Intense Quote"/>
    <w:basedOn w:val="Normal"/>
    <w:next w:val="Normal"/>
    <w:link w:val="IntenseQuoteChar"/>
    <w:uiPriority w:val="30"/>
    <w:qFormat/>
    <w:rsid w:val="008D4C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4C78"/>
    <w:rPr>
      <w:i/>
      <w:iCs/>
      <w:color w:val="0F4761" w:themeColor="accent1" w:themeShade="BF"/>
    </w:rPr>
  </w:style>
  <w:style w:type="character" w:styleId="IntenseReference">
    <w:name w:val="Intense Reference"/>
    <w:basedOn w:val="DefaultParagraphFont"/>
    <w:uiPriority w:val="32"/>
    <w:qFormat/>
    <w:rsid w:val="008D4C78"/>
    <w:rPr>
      <w:b/>
      <w:bCs/>
      <w:smallCaps/>
      <w:color w:val="0F4761" w:themeColor="accent1" w:themeShade="BF"/>
      <w:spacing w:val="5"/>
    </w:rPr>
  </w:style>
  <w:style w:type="table" w:styleId="TableGrid">
    <w:name w:val="Table Grid"/>
    <w:basedOn w:val="TableNormal"/>
    <w:uiPriority w:val="39"/>
    <w:rsid w:val="008D4C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Gareis, Jacob B</dc:creator>
  <cp:keywords/>
  <dc:description/>
  <cp:lastModifiedBy>Gareis, Jacob B</cp:lastModifiedBy>
  <cp:revision>5</cp:revision>
  <dcterms:created xsi:type="dcterms:W3CDTF">2024-08-29T13:29:00Z</dcterms:created>
  <dcterms:modified xsi:type="dcterms:W3CDTF">2024-08-31T03:06:00Z</dcterms:modified>
</cp:coreProperties>
</file>