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Note that </w:t>
      </w:r>
      <w:r>
        <w:rPr>
          <w:b/>
        </w:rPr>
        <w:t>health_survey.csv</w:t>
      </w:r>
      <w:r>
        <w:t xml:space="preserve"> contains the responses to a series of health-related questions that we want to recode on a numeric scale and then aggregate.  Dr. Bergen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4749528B" w:rsidR="00131C17" w:rsidRDefault="002F08D4" w:rsidP="00131C17">
      <w:pPr>
        <w:pStyle w:val="ListParagraph"/>
      </w:pPr>
      <w:r>
        <w:t>The reverse coding in this case makes sense as the intent of the survey questions is ‘opposite’ of the others.</w:t>
      </w:r>
    </w:p>
    <w:p w14:paraId="3BD2A91C" w14:textId="77777777" w:rsidR="002F08D4" w:rsidRDefault="002F08D4" w:rsidP="002F08D4"/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0F99EDF7" w14:textId="77777777" w:rsidR="00585EB7" w:rsidRDefault="00585EB7" w:rsidP="00585EB7">
      <w:pPr>
        <w:pStyle w:val="ListParagraph"/>
      </w:pPr>
    </w:p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Default="00585EB7" w:rsidP="00585EB7">
      <w:pPr>
        <w:ind w:left="360"/>
      </w:pPr>
      <w:r>
        <w:rPr>
          <w:b/>
          <w:bCs/>
        </w:rPr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p w14:paraId="4E020707" w14:textId="461D3374" w:rsidR="002F08D4" w:rsidRDefault="002F08D4" w:rsidP="00585EB7">
      <w:pPr>
        <w:ind w:left="360"/>
      </w:pPr>
      <w:hyperlink r:id="rId16" w:history="1">
        <w:r w:rsidRPr="002568E9">
          <w:rPr>
            <w:rStyle w:val="Hyperlink"/>
          </w:rPr>
          <w:t>https://github.com/JacBGar/DSCI326/tree/main/Lab1_2</w:t>
        </w:r>
      </w:hyperlink>
    </w:p>
    <w:p w14:paraId="09FDA16A" w14:textId="77777777" w:rsidR="002F08D4" w:rsidRPr="00131C17" w:rsidRDefault="002F08D4" w:rsidP="00585EB7">
      <w:pPr>
        <w:ind w:left="360"/>
      </w:pPr>
    </w:p>
    <w:sectPr w:rsidR="002F08D4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532A7" w14:textId="77777777" w:rsidR="00605E26" w:rsidRDefault="00605E26" w:rsidP="003D0A8A">
      <w:r>
        <w:separator/>
      </w:r>
    </w:p>
  </w:endnote>
  <w:endnote w:type="continuationSeparator" w:id="0">
    <w:p w14:paraId="583160E0" w14:textId="77777777" w:rsidR="00605E26" w:rsidRDefault="00605E26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D73A7" w14:textId="77777777" w:rsidR="00605E26" w:rsidRDefault="00605E26" w:rsidP="003D0A8A">
      <w:r>
        <w:separator/>
      </w:r>
    </w:p>
  </w:footnote>
  <w:footnote w:type="continuationSeparator" w:id="0">
    <w:p w14:paraId="6CB6B583" w14:textId="77777777" w:rsidR="00605E26" w:rsidRDefault="00605E26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F7B75"/>
    <w:rsid w:val="00111E65"/>
    <w:rsid w:val="00131C17"/>
    <w:rsid w:val="002257EF"/>
    <w:rsid w:val="002A3E8E"/>
    <w:rsid w:val="002F08D4"/>
    <w:rsid w:val="003D0A8A"/>
    <w:rsid w:val="00406CA2"/>
    <w:rsid w:val="00544A81"/>
    <w:rsid w:val="00585EB7"/>
    <w:rsid w:val="00605E26"/>
    <w:rsid w:val="00637D18"/>
    <w:rsid w:val="0074563F"/>
    <w:rsid w:val="007A6FD2"/>
    <w:rsid w:val="007B022F"/>
    <w:rsid w:val="007C3E10"/>
    <w:rsid w:val="007E0D62"/>
    <w:rsid w:val="00922D1E"/>
    <w:rsid w:val="00977084"/>
    <w:rsid w:val="009A4883"/>
    <w:rsid w:val="00A136FB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806E6"/>
    <w:rsid w:val="00ED755E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cBGar/DSCI326/tree/main/Lab1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Gareis, Jacob B</cp:lastModifiedBy>
  <cp:revision>7</cp:revision>
  <dcterms:created xsi:type="dcterms:W3CDTF">2024-09-10T11:59:00Z</dcterms:created>
  <dcterms:modified xsi:type="dcterms:W3CDTF">2024-09-13T04:23:00Z</dcterms:modified>
</cp:coreProperties>
</file>