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Make Jackle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4431 Thunder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Redwood City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94063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Make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Make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Jackle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911026921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W0051752911026921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241580004734</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