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Arial" w:cs="Arial" w:eastAsia="Arial" w:hAnsi="Arial"/>
          <w:b/>
          <w:bCs/>
          <w:sz w:val="36"/>
          <w:szCs w:val="36"/>
        </w:rPr>
        <w:t xml:space="preserve">Additional Review of Related Literature</w:t>
      </w:r>
    </w:p>
    <w:p>
      <w:pPr>
        <w:spacing w:after="120"/>
        <w:jc w:val="center"/>
      </w:pPr>
      <w:r>
        <w:rPr>
          <w:rFonts w:ascii="Arial" w:cs="Arial" w:eastAsia="Arial" w:hAnsi="Arial"/>
          <w:i/>
          <w:iCs/>
          <w:sz w:val="24"/>
          <w:szCs w:val="24"/>
        </w:rPr>
        <w:t xml:space="preserve">Geo-Agentic RAG: A Framework for Integrated Document Services, Wayfinding, and Administrative Analytics for Local Government Offices</w:t>
      </w:r>
    </w:p>
    <w:p>
      <w:pPr>
        <w:spacing w:after="120" w:before="600"/>
        <w:jc w:val="center"/>
      </w:pPr>
      <w:r>
        <w:rPr>
          <w:rFonts w:ascii="Arial" w:cs="Arial" w:eastAsia="Arial" w:hAnsi="Arial"/>
          <w:sz w:val="24"/>
          <w:szCs w:val="24"/>
        </w:rPr>
        <w:t xml:space="preserve">Jester C. Penaranda</w:t>
      </w:r>
    </w:p>
    <w:p>
      <w:pPr>
        <w:spacing w:after="120"/>
        <w:jc w:val="center"/>
      </w:pPr>
      <w:r>
        <w:rPr>
          <w:rFonts w:ascii="Arial" w:cs="Arial" w:eastAsia="Arial" w:hAnsi="Arial"/>
          <w:sz w:val="24"/>
          <w:szCs w:val="24"/>
        </w:rPr>
        <w:t xml:space="preserve">La Consolacion University Philippines</w:t>
      </w:r>
    </w:p>
    <w:p>
      <w:pPr>
        <w:spacing w:after="600"/>
        <w:jc w:val="center"/>
      </w:pPr>
      <w:r>
        <w:rPr>
          <w:rFonts w:ascii="Arial" w:cs="Arial" w:eastAsia="Arial" w:hAnsi="Arial"/>
          <w:i/>
          <w:iCs/>
          <w:sz w:val="24"/>
          <w:szCs w:val="24"/>
        </w:rPr>
        <w:t xml:space="preserve">Graduate School Department</w:t>
      </w:r>
    </w:p>
    <w:p>
      <w:pPr>
        <w:spacing w:after="120" w:line="360"/>
        <w:jc w:val="both"/>
      </w:pPr>
      <w:r>
        <w:rPr>
          <w:rFonts w:ascii="Arial" w:cs="Arial" w:eastAsia="Arial" w:hAnsi="Arial"/>
          <w:sz w:val="24"/>
          <w:szCs w:val="24"/>
        </w:rPr>
        <w:t xml:space="preserve">This supplementary review extends the Review of Related Literature in Chapter 2 of the dissertation by introducing ten additional thematic sections drawn from foundational scholarship and recent Scopus-indexed studies. These additions provide deeper technical grounding for the architectural components of the Geo-Agentic RAG framework that were not extensively covered in the existing review, including vector embeddings, approximate nearest-neighbor indexing, cross-encoder reranking, multilingual code-switching, Pedestrian Dead Reckoning with vision and QR anchors, cloud large-language-model inference, retrieval-augmented government chatbots, evaluation methodologies, and trustworthy artificial-intelligence and usability evaluation frameworks.</w:t>
      </w:r>
    </w:p>
    <w:p>
      <w:r>
        <w:br w:type="page"/>
      </w:r>
    </w:p>
    <w:p>
      <w:pPr>
        <w:pStyle w:val="Heading1"/>
        <w:spacing w:after="240" w:before="360"/>
        <w:jc w:val="center"/>
      </w:pPr>
      <w:r>
        <w:rPr>
          <w:rFonts w:ascii="Arial" w:cs="Arial" w:eastAsia="Arial" w:hAnsi="Arial"/>
          <w:b/>
          <w:bCs/>
          <w:sz w:val="32"/>
          <w:szCs w:val="32"/>
        </w:rPr>
        <w:t xml:space="preserve">Additional Review of Related Literature</w:t>
      </w:r>
    </w:p>
    <w:p>
      <w:pPr>
        <w:pStyle w:val="Heading2"/>
        <w:spacing w:after="180" w:before="320"/>
      </w:pPr>
      <w:r>
        <w:rPr>
          <w:rFonts w:ascii="Arial" w:cs="Arial" w:eastAsia="Arial" w:hAnsi="Arial"/>
          <w:b/>
          <w:bCs/>
          <w:sz w:val="26"/>
          <w:szCs w:val="26"/>
        </w:rPr>
        <w:t xml:space="preserve">Vector Embeddings and Semantic Search in Multilingual Retrieval Systems</w:t>
      </w:r>
    </w:p>
    <w:p>
      <w:pPr>
        <w:spacing w:after="120" w:line="360"/>
        <w:ind w:firstLine="720"/>
        <w:jc w:val="both"/>
      </w:pPr>
      <w:r>
        <w:rPr>
          <w:rFonts w:ascii="Arial" w:cs="Arial" w:eastAsia="Arial" w:hAnsi="Arial"/>
          <w:sz w:val="24"/>
          <w:szCs w:val="24"/>
        </w:rPr>
        <w:t xml:space="preserve">Recent advances in deep learning have established sentence embeddings as the foundation of modern semantic search systems used in retrieval-augmented architectures. Unlike traditional bag-of-words representations, dense vector embeddings encode semantic similarity in a continuous space, allowing retrieval systems to match queries with documents even when the surface vocabulary differs (Reimers &amp; Gurevych, 2019; Karpukhin et al., 2020). The multilingual variant of the E5 model family, known as multilingual-e5-large, has emerged as a widely adopted backbone in production retrieval-augmented systems because it supports more than ninety languages while maintaining competitive retrieval performance against monolingual baselines (Wang et al., 2024).</w:t>
      </w:r>
    </w:p>
    <w:p>
      <w:pPr>
        <w:spacing w:after="120" w:line="360"/>
        <w:ind w:firstLine="720"/>
        <w:jc w:val="both"/>
      </w:pPr>
      <w:r>
        <w:rPr>
          <w:rFonts w:ascii="Arial" w:cs="Arial" w:eastAsia="Arial" w:hAnsi="Arial"/>
          <w:sz w:val="24"/>
          <w:szCs w:val="24"/>
        </w:rPr>
        <w:t xml:space="preserve">Recent Scopus-indexed studies validate the effectiveness of multilingual sentence encoders in domain-specific governance and knowledge retrieval contexts. Huynh et al. (2026) successfully used multilingual-E5 embeddings to detect AI-generated Vietnamese news articles, demonstrating the model's capacity for cross-lingual textual analysis at fine granularity. Kondo et al. (2025) further showed that domain knowledge distillation improves multilingual sentence encoders for cross-lingual similarity estimation, which is critical for retrieval systems that must serve linguistically heterogeneous user populations. Guillen-Ramirez et al. (2026) extended this line of work by demonstrating that large-language-model-augmented semantic embeddings enable cross-lingual mapping of medical procedure terminology, which is a transferable insight for cross-lingual mapping of municipal service terminology in the Philippine context.</w:t>
      </w:r>
    </w:p>
    <w:p>
      <w:pPr>
        <w:spacing w:after="120" w:line="360"/>
        <w:ind w:firstLine="720"/>
        <w:jc w:val="both"/>
      </w:pPr>
      <w:r>
        <w:rPr>
          <w:rFonts w:ascii="Arial" w:cs="Arial" w:eastAsia="Arial" w:hAnsi="Arial"/>
          <w:sz w:val="24"/>
          <w:szCs w:val="24"/>
        </w:rPr>
        <w:t xml:space="preserve">In multilingual governance environments, embedding models must accommodate code-switched and dialect-heavy queries that are characteristic of citizen interactions in Southeast Asia. Desalegn et al. (2026) reported substantial improvements in Amharic legal question answering by combining locally-sourced data with retrieval-augmented generation, while Absalamova et al. (2026) developed a semantic search-based chatbot for Uzbek legal queries using big-data resources. These studies underscore the universal applicability of multilingual embeddings to low- and mid-resource language settings such as Tagalog and Taglish, but also reveal a persistent gap in Filipino-language governance applications.</w:t>
      </w:r>
    </w:p>
    <w:p>
      <w:pPr>
        <w:spacing w:after="120" w:line="360"/>
        <w:ind w:firstLine="720"/>
        <w:jc w:val="both"/>
      </w:pPr>
      <w:r>
        <w:rPr>
          <w:rFonts w:ascii="Arial" w:cs="Arial" w:eastAsia="Arial" w:hAnsi="Arial"/>
          <w:sz w:val="24"/>
          <w:szCs w:val="24"/>
        </w:rPr>
        <w:t xml:space="preserve">Although multilingual sentence embeddings have demonstrated strong performance in international research, limited studies investigate their application to Philippine municipal service systems where Taglish, regional dialects, and code-switched queries are prevalent. The proposed Geo-Agentic RAG framework addresses this gap by adopting multilingual-e5-large as its first-stage encoder while integrating language-aware response generation that adapts to the citizen's input language.</w:t>
      </w:r>
    </w:p>
    <w:p>
      <w:pPr>
        <w:pStyle w:val="Heading2"/>
        <w:spacing w:after="180" w:before="320"/>
      </w:pPr>
      <w:r>
        <w:rPr>
          <w:rFonts w:ascii="Arial" w:cs="Arial" w:eastAsia="Arial" w:hAnsi="Arial"/>
          <w:b/>
          <w:bCs/>
          <w:sz w:val="26"/>
          <w:szCs w:val="26"/>
        </w:rPr>
        <w:t xml:space="preserve">FAISS and Approximate Nearest Neighbor Search for High-Performance Retrieval</w:t>
      </w:r>
    </w:p>
    <w:p>
      <w:pPr>
        <w:spacing w:after="120" w:line="360"/>
        <w:ind w:firstLine="720"/>
        <w:jc w:val="both"/>
      </w:pPr>
      <w:r>
        <w:rPr>
          <w:rFonts w:ascii="Arial" w:cs="Arial" w:eastAsia="Arial" w:hAnsi="Arial"/>
          <w:sz w:val="24"/>
          <w:szCs w:val="24"/>
        </w:rPr>
        <w:t xml:space="preserve">The scalability of dense retrieval systems depends on efficient vector indexing structures capable of computing nearest-neighbor similarity across large embedding collections. Facebook AI Similarity Search (FAISS), formally introduced by Johnson, Douze, and Jegou (2021), remains the most widely adopted vector indexing library in research and production RAG systems due to its support for both exact and approximate nearest neighbor (ANN) search at billion-vector scale. The newer technical report by Douze et al. (2026) extended FAISS with broader support for inverted file indexes, product quantization, and GPU-accelerated similarity computations, further consolidating its role in modern retrieval pipelines.</w:t>
      </w:r>
    </w:p>
    <w:p>
      <w:pPr>
        <w:spacing w:after="120" w:line="360"/>
        <w:ind w:firstLine="720"/>
        <w:jc w:val="both"/>
      </w:pPr>
      <w:r>
        <w:rPr>
          <w:rFonts w:ascii="Arial" w:cs="Arial" w:eastAsia="Arial" w:hAnsi="Arial"/>
          <w:sz w:val="24"/>
          <w:szCs w:val="24"/>
        </w:rPr>
        <w:t xml:space="preserve">Approximate nearest neighbor algorithms have become essential for retrieval-augmented systems where retrieval latency directly affects user experience. Qin et al. (2026) demonstrated that scalable approximate nearest neighbor search can be ported to client-side devices through optimized data structures and compressed embeddings, while Xu et al. (2026) reported significant performance gains by accelerating graph-based ANN search at the storage layer using 3D NAND memory hardware. Turan et al. (2026) similarly quantified the performance trade-offs of ANN search on Milvus, identifying critical bottlenecks in index build time, recall, and memory footprint. These developments are particularly relevant to municipal RAG deployments that must balance retrieval accuracy against limited infrastructure resources.</w:t>
      </w:r>
    </w:p>
    <w:p>
      <w:pPr>
        <w:spacing w:after="120" w:line="360"/>
        <w:ind w:firstLine="720"/>
        <w:jc w:val="both"/>
      </w:pPr>
      <w:r>
        <w:rPr>
          <w:rFonts w:ascii="Arial" w:cs="Arial" w:eastAsia="Arial" w:hAnsi="Arial"/>
          <w:sz w:val="24"/>
          <w:szCs w:val="24"/>
        </w:rPr>
        <w:t xml:space="preserve">Several recent studies illustrate FAISS-backed RAG implementations in domain-specific applications. Al-Hawari et al. (2026) integrated FAISS into a Scrum-guided intelligent payroll management system with a retrieval-augmented chatbot, while Hanmante et al. (2026) developed InsuranceRAG, a multi-module retrieval-augmented system for insurance assistance. Both demonstrate that FAISS-based indexing scales effectively to enterprise document corpora and supports real-time citizen-facing queries.</w:t>
      </w:r>
    </w:p>
    <w:p>
      <w:pPr>
        <w:spacing w:after="120" w:line="360"/>
        <w:ind w:firstLine="720"/>
        <w:jc w:val="both"/>
      </w:pPr>
      <w:r>
        <w:rPr>
          <w:rFonts w:ascii="Arial" w:cs="Arial" w:eastAsia="Arial" w:hAnsi="Arial"/>
          <w:sz w:val="24"/>
          <w:szCs w:val="24"/>
        </w:rPr>
        <w:t xml:space="preserve">Despite the maturity of vector indexing technology, few studies have applied FAISS-based retrieval architectures to Philippine local government unit document corpora such as Citizen's Charters, ordinances, and municipal directives. The Geo-Agentic RAG framework adopts FAISS IndexFlatIP for its current corpus and is designed to scale to more memory-efficient indexes such as IVF and HNSW as the document base expands.</w:t>
      </w:r>
    </w:p>
    <w:p>
      <w:pPr>
        <w:pStyle w:val="Heading2"/>
        <w:spacing w:after="180" w:before="320"/>
      </w:pPr>
      <w:r>
        <w:rPr>
          <w:rFonts w:ascii="Arial" w:cs="Arial" w:eastAsia="Arial" w:hAnsi="Arial"/>
          <w:b/>
          <w:bCs/>
          <w:sz w:val="26"/>
          <w:szCs w:val="26"/>
        </w:rPr>
        <w:t xml:space="preserve">Cross-Encoder Reranking and Two-Stage Retrieval Architectures</w:t>
      </w:r>
    </w:p>
    <w:p>
      <w:pPr>
        <w:spacing w:after="120" w:line="360"/>
        <w:ind w:firstLine="720"/>
        <w:jc w:val="both"/>
      </w:pPr>
      <w:r>
        <w:rPr>
          <w:rFonts w:ascii="Arial" w:cs="Arial" w:eastAsia="Arial" w:hAnsi="Arial"/>
          <w:sz w:val="24"/>
          <w:szCs w:val="24"/>
        </w:rPr>
        <w:t xml:space="preserve">Modern retrieval-augmented systems increasingly adopt a two-stage retrieval architecture in which a fast bi-encoder produces a candidate set of documents that is subsequently rescored by a slower but more accurate cross-encoder. This design preserves retrieval throughput while improving top-K precision and groundedness. The bge-reranker family, developed by Xiao et al. (2024) and trained on millions of question-document pairs, has emerged as one of the most widely adopted open-weight cross-encoders for English and multilingual reranking.</w:t>
      </w:r>
    </w:p>
    <w:p>
      <w:pPr>
        <w:spacing w:after="120" w:line="360"/>
        <w:ind w:firstLine="720"/>
        <w:jc w:val="both"/>
      </w:pPr>
      <w:r>
        <w:rPr>
          <w:rFonts w:ascii="Arial" w:cs="Arial" w:eastAsia="Arial" w:hAnsi="Arial"/>
          <w:sz w:val="24"/>
          <w:szCs w:val="24"/>
        </w:rPr>
        <w:t xml:space="preserve">Elkiran et al. (2026) conducted a comparative evaluation of retriever-reranker pairings in RAG systems and reported substantial quality improvements when bge-reranker-base was deployed as a second stage after a dense retriever. Tua et al. (2026) introduced a lightweight privacy-preserving reranker for enterprise document search, demonstrating that customizable hybrid retrieval can achieve competitive accuracy while protecting sensitive corporate data, a property directly relevant to government deployments. Gong et al. (2026) proposed reranker optimization via geodesic distances on k-nearest-neighbor manifolds, advancing the mathematical foundations of cross-encoder scoring under non-Euclidean similarity spaces.</w:t>
      </w:r>
    </w:p>
    <w:p>
      <w:pPr>
        <w:spacing w:after="120" w:line="360"/>
        <w:ind w:firstLine="720"/>
        <w:jc w:val="both"/>
      </w:pPr>
      <w:r>
        <w:rPr>
          <w:rFonts w:ascii="Arial" w:cs="Arial" w:eastAsia="Arial" w:hAnsi="Arial"/>
          <w:sz w:val="24"/>
          <w:szCs w:val="24"/>
        </w:rPr>
        <w:t xml:space="preserve">The two-stage retrieval approach has been successfully applied across multilingual and domain-specific RAG implementations. Elmi et al. (2026) proposed H-ProtoRAG, a hierarchical prototype-based retrieval-augmented framework that integrates cross-encoder reranking for multilingual patent classification, while Waqas et al. (2026) developed cairnsearch, a privacy-first hybrid search and local RAG system that combines lexical retrieval and cross-encoder reranking for personal document collections. These studies confirm that the bi-encoder and cross-encoder paradigm has matured into a stable and replicable architecture suitable for low-resource government computing environments.</w:t>
      </w:r>
    </w:p>
    <w:p>
      <w:pPr>
        <w:spacing w:after="120" w:line="360"/>
        <w:ind w:firstLine="720"/>
        <w:jc w:val="both"/>
      </w:pPr>
      <w:r>
        <w:rPr>
          <w:rFonts w:ascii="Arial" w:cs="Arial" w:eastAsia="Arial" w:hAnsi="Arial"/>
          <w:sz w:val="24"/>
          <w:szCs w:val="24"/>
        </w:rPr>
        <w:t xml:space="preserve">Existing literature on cross-encoder reranking remains concentrated in enterprise, biomedical, and legal applications. Few studies explicitly investigate cross-encoder reranking for Philippine government service retrieval, where Taglish queries, code-switched terminology, and the procedural specificity of Citizen's Charters introduce unique reranking challenges. The proposed framework integrates bge-reranker-base as the second retrieval stage to support fine-grained matching against municipal service descriptions.</w:t>
      </w:r>
    </w:p>
    <w:p>
      <w:pPr>
        <w:pStyle w:val="Heading2"/>
        <w:spacing w:after="180" w:before="320"/>
      </w:pPr>
      <w:r>
        <w:rPr>
          <w:rFonts w:ascii="Arial" w:cs="Arial" w:eastAsia="Arial" w:hAnsi="Arial"/>
          <w:b/>
          <w:bCs/>
          <w:sz w:val="26"/>
          <w:szCs w:val="26"/>
        </w:rPr>
        <w:t xml:space="preserve">Code-Switching and Multilingual NLP for Filipino Public-Service Applications</w:t>
      </w:r>
    </w:p>
    <w:p>
      <w:pPr>
        <w:spacing w:after="120" w:line="360"/>
        <w:ind w:firstLine="720"/>
        <w:jc w:val="both"/>
      </w:pPr>
      <w:r>
        <w:rPr>
          <w:rFonts w:ascii="Arial" w:cs="Arial" w:eastAsia="Arial" w:hAnsi="Arial"/>
          <w:sz w:val="24"/>
          <w:szCs w:val="24"/>
        </w:rPr>
        <w:t xml:space="preserve">Code-switching, or the alternation between two or more languages within a single utterance, is a pervasive feature of Filipino online and offline discourse, especially in the form of Taglish, a Tagalog-English code-mixed register. Modern multilingual language models must therefore accommodate not only translation between fixed-language pairs but also the intra-sentence code-switching that characterizes Filipino citizen interactions with public services.</w:t>
      </w:r>
    </w:p>
    <w:p>
      <w:pPr>
        <w:spacing w:after="120" w:line="360"/>
        <w:ind w:firstLine="720"/>
        <w:jc w:val="both"/>
      </w:pPr>
      <w:r>
        <w:rPr>
          <w:rFonts w:ascii="Arial" w:cs="Arial" w:eastAsia="Arial" w:hAnsi="Arial"/>
          <w:sz w:val="24"/>
          <w:szCs w:val="24"/>
        </w:rPr>
        <w:t xml:space="preserve">Dedema et al. (2026) examined how multilingual users engage in code-switching during human and large-language-model interaction and identified consistent patterns in how users alternate between languages depending on emotional intensity, register, and task type. Gonzales (2026) developed a computational approach for predicting language choice in a digital medium and demonstrated that code-switching behavior is highly predictable when contextual features such as topic, interlocutor, and platform are incorporated. These findings have direct implications for the design of public-service chatbots, which must dynamically adapt response language to user input.</w:t>
      </w:r>
    </w:p>
    <w:p>
      <w:pPr>
        <w:spacing w:after="120" w:line="360"/>
        <w:ind w:firstLine="720"/>
        <w:jc w:val="both"/>
      </w:pPr>
      <w:r>
        <w:rPr>
          <w:rFonts w:ascii="Arial" w:cs="Arial" w:eastAsia="Arial" w:hAnsi="Arial"/>
          <w:sz w:val="24"/>
          <w:szCs w:val="24"/>
        </w:rPr>
        <w:t xml:space="preserve">Sairanbekova et al. (2026) compared multilingual and large language models in political discourse analysis and reported that domain-specific multilingual models outperform general-purpose models in administrative content, while de Goma et al. (2026), a Filipino-authored study, applied deep sentiment analysis to online learning tweets using convolutional and long short-term memory architectures. Yadav et al. (2026) further demonstrated that multimodal transformer fusion enhances cross-lingual sentiment analysis, an approach generalizable to multilingual administrative dialogue systems.</w:t>
      </w:r>
    </w:p>
    <w:p>
      <w:pPr>
        <w:spacing w:after="120" w:line="360"/>
        <w:ind w:firstLine="720"/>
        <w:jc w:val="both"/>
      </w:pPr>
      <w:r>
        <w:rPr>
          <w:rFonts w:ascii="Arial" w:cs="Arial" w:eastAsia="Arial" w:hAnsi="Arial"/>
          <w:sz w:val="24"/>
          <w:szCs w:val="24"/>
        </w:rPr>
        <w:t xml:space="preserve">Despite ongoing international research on multilingual natural language processing, very few studies investigate code-switched conversational artificial intelligence for Filipino public-service applications. Existing Philippine local government chatbots rely predominantly on monolingual English models or static rule-based scripts, which struggle to interpret Taglish queries. The Geo-Agentic RAG framework integrates language-aware query rewriting and Taglish-aware response generation as core architectural features to address this gap.</w:t>
      </w:r>
    </w:p>
    <w:p>
      <w:pPr>
        <w:pStyle w:val="Heading2"/>
        <w:spacing w:after="180" w:before="320"/>
      </w:pPr>
      <w:r>
        <w:rPr>
          <w:rFonts w:ascii="Arial" w:cs="Arial" w:eastAsia="Arial" w:hAnsi="Arial"/>
          <w:b/>
          <w:bCs/>
          <w:sz w:val="26"/>
          <w:szCs w:val="26"/>
        </w:rPr>
        <w:t xml:space="preserve">Pedestrian Dead Reckoning and Vision-Anchor Augmentation for Indoor Localization</w:t>
      </w:r>
    </w:p>
    <w:p>
      <w:pPr>
        <w:spacing w:after="120" w:line="360"/>
        <w:ind w:firstLine="720"/>
        <w:jc w:val="both"/>
      </w:pPr>
      <w:r>
        <w:rPr>
          <w:rFonts w:ascii="Arial" w:cs="Arial" w:eastAsia="Arial" w:hAnsi="Arial"/>
          <w:sz w:val="24"/>
          <w:szCs w:val="24"/>
        </w:rPr>
        <w:t xml:space="preserve">Pedestrian Dead Reckoning (PDR) estimates a user's indoor position by integrating motion data from inertial sensors, typically the accelerometer, gyroscope, and magnetometer, over time. Harle (2013) provided a foundational survey of indoor inertial positioning systems for pedestrians and identified step detection, heading estimation, and drift correction as the three primary challenges that have shaped subsequent PDR research. Foxlin (2005) and Jimenez et al. (2010) further established that combining inertial sensors with periodic absolute-position anchors substantially reduces cumulative drift in pedestrian tracking.</w:t>
      </w:r>
    </w:p>
    <w:p>
      <w:pPr>
        <w:spacing w:after="120" w:line="360"/>
        <w:ind w:firstLine="720"/>
        <w:jc w:val="both"/>
      </w:pPr>
      <w:r>
        <w:rPr>
          <w:rFonts w:ascii="Arial" w:cs="Arial" w:eastAsia="Arial" w:hAnsi="Arial"/>
          <w:sz w:val="24"/>
          <w:szCs w:val="24"/>
        </w:rPr>
        <w:t xml:space="preserve">Recent work has advanced step detection through machine-learning-enhanced motion classification. Shi et al. (2026) presented an enhanced step detection algorithm for smartwatches that integrates motion mode recognition and variational mode decomposition, improving step accuracy under variable walking patterns. Chen et al. (2026) introduced a deep-learning-based PDR system with vision-anchor augmentation, achieving seamless centimeter-level indoor positioning by combining inertial estimates with image-based landmark recognition, which is an architectural pattern directly analogous to QR-code anchor augmentation.</w:t>
      </w:r>
    </w:p>
    <w:p>
      <w:pPr>
        <w:spacing w:after="120" w:line="360"/>
        <w:ind w:firstLine="720"/>
        <w:jc w:val="both"/>
      </w:pPr>
      <w:r>
        <w:rPr>
          <w:rFonts w:ascii="Arial" w:cs="Arial" w:eastAsia="Arial" w:hAnsi="Arial"/>
          <w:sz w:val="24"/>
          <w:szCs w:val="24"/>
        </w:rPr>
        <w:t xml:space="preserve">Hybrid approaches that combine PDR with environmental anchors have become the dominant paradigm in indoor positioning research. Rahman et al. (2026) integrated visual simultaneous localization and mapping with sensor fusion for real-time autonomous mapping under varying lighting conditions, while Mamun et al. (2026) developed a robust fingerprint-based machine-learning model for indoor navigation in real time. Modic et al. (2025) specifically demonstrated that QR-anchored PDR systems offer offline operation, low-cost deployment, and adequate accuracy for public-facility navigation, a configuration directly mirrored in the proposed framework.</w:t>
      </w:r>
    </w:p>
    <w:p>
      <w:pPr>
        <w:spacing w:after="120" w:line="360"/>
        <w:ind w:firstLine="720"/>
        <w:jc w:val="both"/>
      </w:pPr>
      <w:r>
        <w:rPr>
          <w:rFonts w:ascii="Arial" w:cs="Arial" w:eastAsia="Arial" w:hAnsi="Arial"/>
          <w:sz w:val="24"/>
          <w:szCs w:val="24"/>
        </w:rPr>
        <w:t xml:space="preserve">Although PDR research has matured significantly, very few studies have applied PDR plus QR anchor systems to Philippine government buildings, where building floor plans, hallway layouts, and signage conventions differ from international research settings. The proposed Geo-Agentic RAG framework adapts the PDR plus QR anchor methodology to the unique configurational properties of Calamba City Hall.</w:t>
      </w:r>
    </w:p>
    <w:p>
      <w:pPr>
        <w:pStyle w:val="Heading2"/>
        <w:spacing w:after="180" w:before="320"/>
      </w:pPr>
      <w:r>
        <w:rPr>
          <w:rFonts w:ascii="Arial" w:cs="Arial" w:eastAsia="Arial" w:hAnsi="Arial"/>
          <w:b/>
          <w:bCs/>
          <w:sz w:val="26"/>
          <w:szCs w:val="26"/>
        </w:rPr>
        <w:t xml:space="preserve">QR Code-Anchored Indoor Positioning and Drift Correction</w:t>
      </w:r>
    </w:p>
    <w:p>
      <w:pPr>
        <w:spacing w:after="120" w:line="360"/>
        <w:ind w:firstLine="720"/>
        <w:jc w:val="both"/>
      </w:pPr>
      <w:r>
        <w:rPr>
          <w:rFonts w:ascii="Arial" w:cs="Arial" w:eastAsia="Arial" w:hAnsi="Arial"/>
          <w:sz w:val="24"/>
          <w:szCs w:val="24"/>
        </w:rPr>
        <w:t xml:space="preserve">Quick Response (QR) codes have emerged as a low-cost and robust mechanism for anchoring indoor positioning systems against the cumulative drift inherent in Pedestrian Dead Reckoning. Unlike Bluetooth Low Energy beacons that require dedicated hardware and battery management, QR anchors are printable, location-fixed, and impose minimal infrastructure cost on the deploying institution. Modic et al. (2025) proposed an offline indoor navigation system using QR codes specifically suited for public-facility environments where continuous internet connectivity cannot be assumed.</w:t>
      </w:r>
    </w:p>
    <w:p>
      <w:pPr>
        <w:spacing w:after="120" w:line="360"/>
        <w:ind w:firstLine="720"/>
        <w:jc w:val="both"/>
      </w:pPr>
      <w:r>
        <w:rPr>
          <w:rFonts w:ascii="Arial" w:cs="Arial" w:eastAsia="Arial" w:hAnsi="Arial"/>
          <w:sz w:val="24"/>
          <w:szCs w:val="24"/>
        </w:rPr>
        <w:t xml:space="preserve">Hazzazi et al. (2025) extended QR-anchor-based positioning with Galois-field-based cryptography and hybrid deep-learning algorithms to achieve high-accuracy indoor positioning, demonstrating that QR systems can support security-sensitive applications such as access control. Branco et al. (2025) reviewed indoor positioning techniques applied to collaborative augmented reality and identified QR-based localization as a foundational layer for hybrid augmented-reality and Pedestrian Dead Reckoning navigation. Yang et al. (2025) further reported a spatial-geometry algorithm using a single vision beacon, advancing the case for sparse-anchor positioning architectures.</w:t>
      </w:r>
    </w:p>
    <w:p>
      <w:pPr>
        <w:spacing w:after="120" w:line="360"/>
        <w:ind w:firstLine="720"/>
        <w:jc w:val="both"/>
      </w:pPr>
      <w:r>
        <w:rPr>
          <w:rFonts w:ascii="Arial" w:cs="Arial" w:eastAsia="Arial" w:hAnsi="Arial"/>
          <w:sz w:val="24"/>
          <w:szCs w:val="24"/>
        </w:rPr>
        <w:t xml:space="preserve">QR anchor placement strategies significantly affect localization accuracy. Lammini et al. (2026) developed an augmented reality framework for real-time CAD-physical synchronization that depends on dense and well-spaced markers, while Dang et al. (2025) integrated QR codes with Internet-of-Things-enabled robotic delivery to improve last-meter navigation in commercial environments. These findings reinforce that QR anchor density and placement are critical design variables for indoor positioning quality.</w:t>
      </w:r>
    </w:p>
    <w:p>
      <w:pPr>
        <w:spacing w:after="120" w:line="360"/>
        <w:ind w:firstLine="720"/>
        <w:jc w:val="both"/>
      </w:pPr>
      <w:r>
        <w:rPr>
          <w:rFonts w:ascii="Arial" w:cs="Arial" w:eastAsia="Arial" w:hAnsi="Arial"/>
          <w:sz w:val="24"/>
          <w:szCs w:val="24"/>
        </w:rPr>
        <w:t xml:space="preserve">Despite these advances, Philippine government deployments rarely integrate QR anchor systems into citizen-facing wayfinding because of low awareness of the technology, the cost of generating and laminating durable QR labels, and the lack of supporting software ecosystems. The Geo-Agentic RAG framework formalizes a QR anchor format encoded as GRID:floor:row,col and integrates it natively into a unified municipal service platform.</w:t>
      </w:r>
    </w:p>
    <w:p>
      <w:pPr>
        <w:pStyle w:val="Heading2"/>
        <w:spacing w:after="180" w:before="320"/>
      </w:pPr>
      <w:r>
        <w:rPr>
          <w:rFonts w:ascii="Arial" w:cs="Arial" w:eastAsia="Arial" w:hAnsi="Arial"/>
          <w:b/>
          <w:bCs/>
          <w:sz w:val="26"/>
          <w:szCs w:val="26"/>
        </w:rPr>
        <w:t xml:space="preserve">Cloud-Hosted LLM Inference for Latency-Sensitive Public-Service Applications</w:t>
      </w:r>
    </w:p>
    <w:p>
      <w:pPr>
        <w:spacing w:after="120" w:line="360"/>
        <w:ind w:firstLine="720"/>
        <w:jc w:val="both"/>
      </w:pPr>
      <w:r>
        <w:rPr>
          <w:rFonts w:ascii="Arial" w:cs="Arial" w:eastAsia="Arial" w:hAnsi="Arial"/>
          <w:sz w:val="24"/>
          <w:szCs w:val="24"/>
        </w:rPr>
        <w:t xml:space="preserve">Large language models have entered mainstream public-sector deployment, but their inference characteristics, including high computational cost, variable latency, and cold-start delays, present challenges for citizen-facing applications. Zhao et al. (2026) presented a comprehensive survey of large language models and organized the landscape into pretrained, instruction-tuned, alignment-trained, and tool-augmented variants. Their analysis highlights the role of inference infrastructure choice between on-premises and cloud deployment in determining application feasibility.</w:t>
      </w:r>
    </w:p>
    <w:p>
      <w:pPr>
        <w:spacing w:after="120" w:line="360"/>
        <w:ind w:firstLine="720"/>
        <w:jc w:val="both"/>
      </w:pPr>
      <w:r>
        <w:rPr>
          <w:rFonts w:ascii="Arial" w:cs="Arial" w:eastAsia="Arial" w:hAnsi="Arial"/>
          <w:sz w:val="24"/>
          <w:szCs w:val="24"/>
        </w:rPr>
        <w:t xml:space="preserve">Recent Scopus-indexed studies investigate latency optimization for large-language-model-driven applications. Trabelsi et al. (2026) developed dynamic task offloading in vehicular networks using large language models for adaptive low-latency decision making, demonstrating that cloud-edge hybrid architectures can sustain real-time response service levels. Li et al. (2026) explored patient address parsing via knowledge-graph-aware contrastive learning combined with constrained on-premises large-language-model inference, illustrating that on-premises deployment remains viable for privacy-sensitive applications but at increased operational complexity. Fourati et al. (2026) surveyed large-language-model applications for cyberattack defense and identified latency, cost, and accuracy trade-offs as the central design tension across public-sector use cases.</w:t>
      </w:r>
    </w:p>
    <w:p>
      <w:pPr>
        <w:spacing w:after="120" w:line="360"/>
        <w:ind w:firstLine="720"/>
        <w:jc w:val="both"/>
      </w:pPr>
      <w:r>
        <w:rPr>
          <w:rFonts w:ascii="Arial" w:cs="Arial" w:eastAsia="Arial" w:hAnsi="Arial"/>
          <w:sz w:val="24"/>
          <w:szCs w:val="24"/>
        </w:rPr>
        <w:t xml:space="preserve">Cloud LLM inference platforms such as the Groq Language Processing Unit architecture, Google Gemini, and OpenAI-compatible application programming interfaces have introduced new options for latency-sensitive retrieval-augmented deployments. While none of these platforms have yet been widely studied in Scopus-indexed government applications, Saeed et al. (2026) discussed the data-centric taxonomy of large language models for generative recommendation, emphasizing that hybrid cloud-local architectures provide a pragmatic balance between cost and operational sovereignty.</w:t>
      </w:r>
    </w:p>
    <w:p>
      <w:pPr>
        <w:spacing w:after="120" w:line="360"/>
        <w:ind w:firstLine="720"/>
        <w:jc w:val="both"/>
      </w:pPr>
      <w:r>
        <w:rPr>
          <w:rFonts w:ascii="Arial" w:cs="Arial" w:eastAsia="Arial" w:hAnsi="Arial"/>
          <w:sz w:val="24"/>
          <w:szCs w:val="24"/>
        </w:rPr>
        <w:t xml:space="preserve">The reviewed literature reveals a gap in studies investigating cloud-hosted large-language-model inference specifically for Philippine local-government applications, where infrastructure heterogeneity, intermittent internet connectivity, and variable regional service capacity must all be accommodated. The Geo-Agentic RAG framework adopts a backend-priority configuration with Groq cloud inference as the primary backend and an on-premises Ollama runtime as a fallback, ensuring service continuity across these conditions.</w:t>
      </w:r>
    </w:p>
    <w:p>
      <w:pPr>
        <w:pStyle w:val="Heading2"/>
        <w:spacing w:after="180" w:before="320"/>
      </w:pPr>
      <w:r>
        <w:rPr>
          <w:rFonts w:ascii="Arial" w:cs="Arial" w:eastAsia="Arial" w:hAnsi="Arial"/>
          <w:b/>
          <w:bCs/>
          <w:sz w:val="26"/>
          <w:szCs w:val="26"/>
        </w:rPr>
        <w:t xml:space="preserve">RAG-Enabled Government Document Chatbots and Citizen Service Systems</w:t>
      </w:r>
    </w:p>
    <w:p>
      <w:pPr>
        <w:spacing w:after="120" w:line="360"/>
        <w:ind w:firstLine="720"/>
        <w:jc w:val="both"/>
      </w:pPr>
      <w:r>
        <w:rPr>
          <w:rFonts w:ascii="Arial" w:cs="Arial" w:eastAsia="Arial" w:hAnsi="Arial"/>
          <w:sz w:val="24"/>
          <w:szCs w:val="24"/>
        </w:rPr>
        <w:t xml:space="preserve">Retrieval-augmented generation has emerged as a leading architecture for government document chatbots because it grounds generated outputs in authoritative source documents and improves auditability. Widiyaningtyas et al. (2026) presented a systematic literature review on groundedness-aware retrieval in government document chatbots and formulated a Semantic Alignment Score as a quantitative metric for evaluating retrieval-augmented quality in administrative settings. Their work provides one of the most directly relevant academic frameworks for assessing government chatbot performance.</w:t>
      </w:r>
    </w:p>
    <w:p>
      <w:pPr>
        <w:spacing w:after="120" w:line="360"/>
        <w:ind w:firstLine="720"/>
        <w:jc w:val="both"/>
      </w:pPr>
      <w:r>
        <w:rPr>
          <w:rFonts w:ascii="Arial" w:cs="Arial" w:eastAsia="Arial" w:hAnsi="Arial"/>
          <w:sz w:val="24"/>
          <w:szCs w:val="24"/>
        </w:rPr>
        <w:t xml:space="preserve">Several recent studies extend retrieval-augmented architectures to specific government domains. Deng et al. (2026) applied named entity recognition to Beiyang government documents using large language models, demonstrating that domain-adapted large language models can extract structured information from historical and contemporary government archives. Comb (2026) proposed context-layered retrieval-augmented architectures for ecosystem-aware artificial intelligence in universal digital identity systems, while Utami et al. (2026) developed a hybrid term-frequency-inverse-document-frequency and knowledge-graph-enhanced retrieval-augmented framework for domain-aware question answering, a configuration applicable to procedural government queries.</w:t>
      </w:r>
    </w:p>
    <w:p>
      <w:pPr>
        <w:spacing w:after="120" w:line="360"/>
        <w:ind w:firstLine="720"/>
        <w:jc w:val="both"/>
      </w:pPr>
      <w:r>
        <w:rPr>
          <w:rFonts w:ascii="Arial" w:cs="Arial" w:eastAsia="Arial" w:hAnsi="Arial"/>
          <w:sz w:val="24"/>
          <w:szCs w:val="24"/>
        </w:rPr>
        <w:t xml:space="preserve">International applications further illustrate the breadth of retrieval-augmented and government integration. Khujayarov (2026) developed Uzbek question-answering models for administrative content through fine-tuning approaches, while Dennison et al. (2026) deployed Shiksha Copilot, a teacher-and-artificial-intelligence collaboration system for low-resource schools, using retrieval-augmented generation to ground curriculum-aligned outputs. Yoo (2026) proposed ToR-Lite for multi-hop retrieval-augmented generation in cloud-based artificial intelligence systems, supporting complex procedural queries that require traversing multiple document chunks.</w:t>
      </w:r>
    </w:p>
    <w:p>
      <w:pPr>
        <w:spacing w:after="120" w:line="360"/>
        <w:ind w:firstLine="720"/>
        <w:jc w:val="both"/>
      </w:pPr>
      <w:r>
        <w:rPr>
          <w:rFonts w:ascii="Arial" w:cs="Arial" w:eastAsia="Arial" w:hAnsi="Arial"/>
          <w:sz w:val="24"/>
          <w:szCs w:val="24"/>
        </w:rPr>
        <w:t xml:space="preserve">Despite the proliferation of international government retrieval-augmented systems, Philippine local-government implementations remain rare, and existing studies have not addressed the specific challenges of bilingual citizen interaction, indoor wayfinding integration, and administrative analytics within a unified architecture. The Geo-Agentic RAG framework synthesizes these elements into a single municipal service platform.</w:t>
      </w:r>
    </w:p>
    <w:p>
      <w:pPr>
        <w:pStyle w:val="Heading2"/>
        <w:spacing w:after="180" w:before="320"/>
      </w:pPr>
      <w:r>
        <w:rPr>
          <w:rFonts w:ascii="Arial" w:cs="Arial" w:eastAsia="Arial" w:hAnsi="Arial"/>
          <w:b/>
          <w:bCs/>
          <w:sz w:val="26"/>
          <w:szCs w:val="26"/>
        </w:rPr>
        <w:t xml:space="preserve">Evaluation Methodologies for Retrieval-Augmented Generation Systems</w:t>
      </w:r>
    </w:p>
    <w:p>
      <w:pPr>
        <w:spacing w:after="120" w:line="360"/>
        <w:ind w:firstLine="720"/>
        <w:jc w:val="both"/>
      </w:pPr>
      <w:r>
        <w:rPr>
          <w:rFonts w:ascii="Arial" w:cs="Arial" w:eastAsia="Arial" w:hAnsi="Arial"/>
          <w:sz w:val="24"/>
          <w:szCs w:val="24"/>
        </w:rPr>
        <w:t xml:space="preserve">The rapid expansion of retrieval-augmented architectures has prompted the development of dedicated evaluation methodologies that assess both retrieval quality and generation faithfulness. Manning, Raghavan, and Schutze (2008) established the canonical information-retrieval metrics of Recall at K, Precision at K, Mean Reciprocal Rank, and Normalized Discounted Cumulative Gain, which remain foundational in modern retrieval-augmented evaluation. More recent metrics specifically address large-language-model-generated outputs, including faithfulness, groundedness, and answer relevance.</w:t>
      </w:r>
    </w:p>
    <w:p>
      <w:pPr>
        <w:spacing w:after="120" w:line="360"/>
        <w:ind w:firstLine="720"/>
        <w:jc w:val="both"/>
      </w:pPr>
      <w:r>
        <w:rPr>
          <w:rFonts w:ascii="Arial" w:cs="Arial" w:eastAsia="Arial" w:hAnsi="Arial"/>
          <w:sz w:val="24"/>
          <w:szCs w:val="24"/>
        </w:rPr>
        <w:t xml:space="preserve">Elkiran et al. (2026) systematically evaluated retriever-reranker pairings in retrieval-augmented systems and quantified the quality-efficiency trade-offs across different cross-encoder configurations. Sanyal et al. (2026) introduced RAGMail, a cloud-based retrieval-augmented framework that demonstrably reduces hallucinations in large-language-model text generation. Lu et al. (2026) proposed a mutual-information-based retrieval-augmented approach for domain question answering that improves retrieval-generation coherence. Tauhid Ullah Shah et al. (2026) further developed QuaRUM, a qualitative-data-analysis-based retrieval-augmented system for unified-modeling-language domain modeling that exemplifies domain-specific evaluation methodologies.</w:t>
      </w:r>
    </w:p>
    <w:p>
      <w:pPr>
        <w:spacing w:after="120" w:line="360"/>
        <w:ind w:firstLine="720"/>
        <w:jc w:val="both"/>
      </w:pPr>
      <w:r>
        <w:rPr>
          <w:rFonts w:ascii="Arial" w:cs="Arial" w:eastAsia="Arial" w:hAnsi="Arial"/>
          <w:sz w:val="24"/>
          <w:szCs w:val="24"/>
        </w:rPr>
        <w:t xml:space="preserve">Hallucination assessment has emerged as a central concern in retrieval-augmented evaluation. Sanyal et al. (2026) and Yu et al. (2026), through the latter's VDM-IOG graph-based retrieval-augmented framework for vulnerability description mapping, both emphasize that hallucination mitigation strategies must be embedded throughout the retrieval pipeline rather than treated as a post-hoc generation problem. Mitsuhashi et al. (2026) demonstrated this principle in ChatTogoVar, a retrieval-augmented genomic-variant interpretation system in which evaluation includes both retrieval accuracy and clinical correctness of generated explanations.</w:t>
      </w:r>
    </w:p>
    <w:p>
      <w:pPr>
        <w:spacing w:after="120" w:line="360"/>
        <w:ind w:firstLine="720"/>
        <w:jc w:val="both"/>
      </w:pPr>
      <w:r>
        <w:rPr>
          <w:rFonts w:ascii="Arial" w:cs="Arial" w:eastAsia="Arial" w:hAnsi="Arial"/>
          <w:sz w:val="24"/>
          <w:szCs w:val="24"/>
        </w:rPr>
        <w:t xml:space="preserve">Although international retrieval-augmented evaluation methodologies have matured, no published studies systematically evaluate retrieval-augmented Filipino government service applications across both retrieval and generation dimensions. The Geo-Agentic RAG framework integrates Recall at K, Precision at K, Mean Reciprocal Rank, Normalized Discounted Cumulative Gain, and faithfulness metrics into a dedicated evaluation suite calibrated for the Calamba City Hall corpus.</w:t>
      </w:r>
    </w:p>
    <w:p>
      <w:pPr>
        <w:pStyle w:val="Heading2"/>
        <w:spacing w:after="180" w:before="320"/>
      </w:pPr>
      <w:r>
        <w:rPr>
          <w:rFonts w:ascii="Arial" w:cs="Arial" w:eastAsia="Arial" w:hAnsi="Arial"/>
          <w:b/>
          <w:bCs/>
          <w:sz w:val="26"/>
          <w:szCs w:val="26"/>
        </w:rPr>
        <w:t xml:space="preserve">Trustworthy AI, Responsible AI, and Usability Evaluation in Public-Sector Systems</w:t>
      </w:r>
    </w:p>
    <w:p>
      <w:pPr>
        <w:spacing w:after="120" w:line="360"/>
        <w:ind w:firstLine="720"/>
        <w:jc w:val="both"/>
      </w:pPr>
      <w:r>
        <w:rPr>
          <w:rFonts w:ascii="Arial" w:cs="Arial" w:eastAsia="Arial" w:hAnsi="Arial"/>
          <w:sz w:val="24"/>
          <w:szCs w:val="24"/>
        </w:rPr>
        <w:t xml:space="preserve">The deployment of artificial intelligence systems in government environments raises sustained concerns about transparency, accountability, fairness, and user trust. Senadheera et al. (2026) directly addressed these concerns in a study of local-government artificial intelligence adoption titled "Is responsible AI a public demand?" and found that public trust in local-government artificial intelligence is significantly mediated by perceived transparency, fairness, and explainability. Their study provides empirical grounding for designing public-sector artificial-intelligence systems under responsible-artificial-intelligence principles.</w:t>
      </w:r>
    </w:p>
    <w:p>
      <w:pPr>
        <w:spacing w:after="120" w:line="360"/>
        <w:ind w:firstLine="720"/>
        <w:jc w:val="both"/>
      </w:pPr>
      <w:r>
        <w:rPr>
          <w:rFonts w:ascii="Arial" w:cs="Arial" w:eastAsia="Arial" w:hAnsi="Arial"/>
          <w:sz w:val="24"/>
          <w:szCs w:val="24"/>
        </w:rPr>
        <w:t xml:space="preserve">Trustworthy-artificial-intelligence literature increasingly emphasizes domain-specific oversight frameworks. Gilbert et al. (2026) reported expert perspectives on the ecosystem of medical artificial-intelligence oversight in the generative-artificial-intelligence era, identifying audit trails, source-grounded responses, and continuous monitoring as essential controls. These studies collectively underscore that artificial-intelligence deployments in citizen-facing services must integrate explainability mechanisms throughout the response pipeline.</w:t>
      </w:r>
    </w:p>
    <w:p>
      <w:pPr>
        <w:spacing w:after="120" w:line="360"/>
        <w:ind w:firstLine="720"/>
        <w:jc w:val="both"/>
      </w:pPr>
      <w:r>
        <w:rPr>
          <w:rFonts w:ascii="Arial" w:cs="Arial" w:eastAsia="Arial" w:hAnsi="Arial"/>
          <w:sz w:val="24"/>
          <w:szCs w:val="24"/>
        </w:rPr>
        <w:t xml:space="preserve">Usability evaluation methodologies complement these trust-oriented frameworks. The System Usability Scale, developed by Brooke (1996) and empirically validated by Bangor, Kortum, and Miller (2008), remains the most widely used instrument for assessing perceived usability of digital systems including chatbots and mobile government applications. Recent work by Choi et al. (2026) applied a two-phase System-Usability-Scale-based usability study to an artificial-intelligence chatbot supporting shared decision-making in healthcare, while Hub et al. (2026) extended classical System-Usability-Scale analysis with fuzzy logic to capture finer-grained usability dimensions. Perez-Maletzki et al. (2026) used the System Usability Scale in a randomized controlled trial of a chatbot for home rehabilitation, demonstrating its applicability to longitudinal usability assessment.</w:t>
      </w:r>
    </w:p>
    <w:p>
      <w:pPr>
        <w:spacing w:after="120" w:line="360"/>
        <w:ind w:firstLine="720"/>
        <w:jc w:val="both"/>
      </w:pPr>
      <w:r>
        <w:rPr>
          <w:rFonts w:ascii="Arial" w:cs="Arial" w:eastAsia="Arial" w:hAnsi="Arial"/>
          <w:sz w:val="24"/>
          <w:szCs w:val="24"/>
        </w:rPr>
        <w:t xml:space="preserve">Although trustworthy-artificial-intelligence and usability frameworks are extensively studied internationally, few published works evaluate Philippine local-government artificial-intelligence systems against both dimensions simultaneously. The Geo-Agentic RAG framework explicitly adopts the System Usability Scale as its primary usability instrument and integrates source-grounded retrieval, auditable response generation, and human-in-the-loop governance to align with responsible-artificial-intelligence principles.</w:t>
      </w:r>
    </w:p>
    <w:p>
      <w:pPr>
        <w:pStyle w:val="Heading2"/>
        <w:spacing w:after="180" w:before="320"/>
      </w:pPr>
      <w:r>
        <w:rPr>
          <w:rFonts w:ascii="Arial" w:cs="Arial" w:eastAsia="Arial" w:hAnsi="Arial"/>
          <w:b/>
          <w:bCs/>
          <w:sz w:val="26"/>
          <w:szCs w:val="26"/>
        </w:rPr>
        <w:t xml:space="preserve">Synthesis of Additional Related Literature</w:t>
      </w:r>
    </w:p>
    <w:p>
      <w:pPr>
        <w:spacing w:after="120" w:line="360"/>
        <w:ind w:firstLine="720"/>
        <w:jc w:val="both"/>
      </w:pPr>
      <w:r>
        <w:rPr>
          <w:rFonts w:ascii="Arial" w:cs="Arial" w:eastAsia="Arial" w:hAnsi="Arial"/>
          <w:sz w:val="24"/>
          <w:szCs w:val="24"/>
        </w:rPr>
        <w:t xml:space="preserve">The reviewed literature collectively reinforces and extends the existing Review of Related Literature by introducing technical and methodological foundations that were not previously covered. While the original chapter emphasized the policy, organizational, and conceptual dimensions of artificial intelligence and retrieval-augmented generation in Philippine local government, this addition strengthens the dissertation's technical grounding by incorporating vector embeddings, approximate nearest-neighbor indexing, cross-encoder reranking, multilingual code-switched natural language processing, pedestrian dead reckoning with vision and QR anchors, cloud large-language-model inference, retrieval-augmented government chatbots, evaluation methodologies, trustworthy artificial-intelligence frameworks, and System Usability Scale evaluation.</w:t>
      </w:r>
    </w:p>
    <w:p>
      <w:pPr>
        <w:spacing w:after="120" w:line="360"/>
        <w:ind w:firstLine="720"/>
        <w:jc w:val="both"/>
      </w:pPr>
      <w:r>
        <w:rPr>
          <w:rFonts w:ascii="Arial" w:cs="Arial" w:eastAsia="Arial" w:hAnsi="Arial"/>
          <w:sz w:val="24"/>
          <w:szCs w:val="24"/>
        </w:rPr>
        <w:t xml:space="preserve">Across these ten additional themes, the recurring conclusion is that international research has matured each individual component, yet integration into a unified municipal service platform calibrated for Filipino-language and Philippine local-government conditions remains rare. The Geo-Agentic RAG framework directly addresses this integration gap by combining multilingual retrieval, agentic generation, indoor wayfinding, and administrative analytics into a single citizen-facing platform grounded in the official Calamba City Hall Citizen's Charter.</w:t>
      </w:r>
    </w:p>
    <w:p>
      <w:pPr>
        <w:spacing w:after="120" w:line="360"/>
        <w:ind w:firstLine="720"/>
        <w:jc w:val="both"/>
      </w:pPr>
      <w:r>
        <w:rPr>
          <w:rFonts w:ascii="Arial" w:cs="Arial" w:eastAsia="Arial" w:hAnsi="Arial"/>
          <w:sz w:val="24"/>
          <w:szCs w:val="24"/>
        </w:rPr>
        <w:t xml:space="preserve">The integration of Scopus-indexed empirical studies alongside seminal foundational works strengthens the academic rigor of the proposed framework and provides a defensible theoretical basis for its architectural choices, including the selection of multilingual-e5-large as the embedding model, bge-reranker-base as the reranker, FAISS as the vector index, a Pedestrian Dead Reckoning and QR-anchor hybrid for indoor wayfinding, Groq cloud inference for the language model, and the System Usability Scale as the primary usability instrument.</w:t>
      </w:r>
    </w:p>
    <w:p>
      <w:r>
        <w:br w:type="page"/>
      </w:r>
    </w:p>
    <w:p>
      <w:pPr>
        <w:pStyle w:val="Heading1"/>
        <w:spacing w:after="240" w:before="360"/>
        <w:jc w:val="center"/>
      </w:pPr>
      <w:r>
        <w:rPr>
          <w:rFonts w:ascii="Arial" w:cs="Arial" w:eastAsia="Arial" w:hAnsi="Arial"/>
          <w:b/>
          <w:bCs/>
          <w:sz w:val="32"/>
          <w:szCs w:val="32"/>
        </w:rPr>
        <w:t xml:space="preserve">References</w:t>
      </w:r>
    </w:p>
    <w:p>
      <w:pPr>
        <w:spacing w:after="120" w:line="360"/>
        <w:jc w:val="both"/>
      </w:pPr>
      <w:r>
        <w:rPr>
          <w:rFonts w:ascii="Arial" w:cs="Arial" w:eastAsia="Arial" w:hAnsi="Arial"/>
          <w:sz w:val="24"/>
          <w:szCs w:val="24"/>
        </w:rPr>
        <w:t xml:space="preserve">The following references include foundational works and recent Scopus-indexed studies retrieved via the Scopus Search API (Elsevier). Inline citations in the text correspond to the entries below.</w:t>
      </w:r>
    </w:p>
    <w:p>
      <w:pPr>
        <w:spacing w:after="120" w:line="360"/>
        <w:ind w:left="720" w:hanging="720"/>
        <w:jc w:val="left"/>
      </w:pPr>
      <w:r>
        <w:rPr>
          <w:rFonts w:ascii="Arial" w:cs="Arial" w:eastAsia="Arial" w:hAnsi="Arial"/>
          <w:sz w:val="24"/>
          <w:szCs w:val="24"/>
        </w:rPr>
        <w:t xml:space="preserve">Absalamova, D. (2026). Developing a semantic search-based chatbot for legal queries in Uzbek language using big data resources. ICFNDS 2025: 9th International Conference on Future Networks and Distributed Systems. https://doi.org/10.1145/3789692.3789825</w:t>
      </w:r>
    </w:p>
    <w:p>
      <w:pPr>
        <w:spacing w:after="120" w:line="360"/>
        <w:ind w:left="720" w:hanging="720"/>
        <w:jc w:val="left"/>
      </w:pPr>
      <w:r>
        <w:rPr>
          <w:rFonts w:ascii="Arial" w:cs="Arial" w:eastAsia="Arial" w:hAnsi="Arial"/>
          <w:sz w:val="24"/>
          <w:szCs w:val="24"/>
        </w:rPr>
        <w:t xml:space="preserve">Al-Hawari, F. (2026). Scrum-guided development of an intelligent payroll management system with rule-based automation and RAG chatbot support. Knowledge-Based Systems. https://doi.org/10.1016/j.knosys.2026.116301</w:t>
      </w:r>
    </w:p>
    <w:p>
      <w:pPr>
        <w:spacing w:after="120" w:line="360"/>
        <w:ind w:left="720" w:hanging="720"/>
        <w:jc w:val="left"/>
      </w:pPr>
      <w:r>
        <w:rPr>
          <w:rFonts w:ascii="Arial" w:cs="Arial" w:eastAsia="Arial" w:hAnsi="Arial"/>
          <w:sz w:val="24"/>
          <w:szCs w:val="24"/>
        </w:rPr>
        <w:t xml:space="preserve">Amparo, J. C. (2026). Semantic AI-based retrieval of capstone manuscript: Evaluating the impact of dataset size on search relevance. ICEEL 2025: 9th International Conference on Education and E-Learning. https://doi.org/10.1145/3789859.3789918</w:t>
      </w:r>
    </w:p>
    <w:p>
      <w:pPr>
        <w:spacing w:after="120" w:line="360"/>
        <w:ind w:left="720" w:hanging="720"/>
        <w:jc w:val="left"/>
      </w:pPr>
      <w:r>
        <w:rPr>
          <w:rFonts w:ascii="Arial" w:cs="Arial" w:eastAsia="Arial" w:hAnsi="Arial"/>
          <w:sz w:val="24"/>
          <w:szCs w:val="24"/>
        </w:rPr>
        <w:t xml:space="preserve">Bangor, A., Kortum, P., &amp; Miller, J. (2008). An empirical evaluation of the System Usability Scale. International Journal of Human-Computer Interaction, 24(6), 574-594. https://doi.org/10.1080/10447310802205776</w:t>
      </w:r>
    </w:p>
    <w:p>
      <w:pPr>
        <w:spacing w:after="120" w:line="360"/>
        <w:ind w:left="720" w:hanging="720"/>
        <w:jc w:val="left"/>
      </w:pPr>
      <w:r>
        <w:rPr>
          <w:rFonts w:ascii="Arial" w:cs="Arial" w:eastAsia="Arial" w:hAnsi="Arial"/>
          <w:sz w:val="24"/>
          <w:szCs w:val="24"/>
        </w:rPr>
        <w:t xml:space="preserve">Branco, D. (2025). Indoor positioning techniques applied to collaborative AR. Lecture Notes on Data Engineering and Communications Technologies. https://doi.org/10.1007/978-3-031-87781-0_20</w:t>
      </w:r>
    </w:p>
    <w:p>
      <w:pPr>
        <w:spacing w:after="120" w:line="360"/>
        <w:ind w:left="720" w:hanging="720"/>
        <w:jc w:val="left"/>
      </w:pPr>
      <w:r>
        <w:rPr>
          <w:rFonts w:ascii="Arial" w:cs="Arial" w:eastAsia="Arial" w:hAnsi="Arial"/>
          <w:sz w:val="24"/>
          <w:szCs w:val="24"/>
        </w:rPr>
        <w:t xml:space="preserve">Brooke, J. (1996). SUS: A 'quick and dirty' usability scale. In P. W. Jordan, B. Thomas, B. A. Weerdmeester, &amp; I. L. McClelland (Eds.), Usability Evaluation in Industry (pp. 189-194). Taylor &amp; Francis.</w:t>
      </w:r>
    </w:p>
    <w:p>
      <w:pPr>
        <w:spacing w:after="120" w:line="360"/>
        <w:ind w:left="720" w:hanging="720"/>
        <w:jc w:val="left"/>
      </w:pPr>
      <w:r>
        <w:rPr>
          <w:rFonts w:ascii="Arial" w:cs="Arial" w:eastAsia="Arial" w:hAnsi="Arial"/>
          <w:sz w:val="24"/>
          <w:szCs w:val="24"/>
        </w:rPr>
        <w:t xml:space="preserve">Chen, L. W. (2026). Deep learning based pedestrian dead reckoning with vision anchor augmentation for seamless centimeter-level indoor positioning. IEEE Transactions on Systems, Man, and Cybernetics: Systems. https://doi.org/10.1109/TSMC.2026.3659913</w:t>
      </w:r>
    </w:p>
    <w:p>
      <w:pPr>
        <w:spacing w:after="120" w:line="360"/>
        <w:ind w:left="720" w:hanging="720"/>
        <w:jc w:val="left"/>
      </w:pPr>
      <w:r>
        <w:rPr>
          <w:rFonts w:ascii="Arial" w:cs="Arial" w:eastAsia="Arial" w:hAnsi="Arial"/>
          <w:sz w:val="24"/>
          <w:szCs w:val="24"/>
        </w:rPr>
        <w:t xml:space="preserve">Choi, S. R. (2026). Development of an AI chatbot to support shared decision-making in rheumatoid arthritis: A two-phase usability study. BMC Medical Informatics and Decision Making. https://doi.org/10.1186/s12911-026-03467-4</w:t>
      </w:r>
    </w:p>
    <w:p>
      <w:pPr>
        <w:spacing w:after="120" w:line="360"/>
        <w:ind w:left="720" w:hanging="720"/>
        <w:jc w:val="left"/>
      </w:pPr>
      <w:r>
        <w:rPr>
          <w:rFonts w:ascii="Arial" w:cs="Arial" w:eastAsia="Arial" w:hAnsi="Arial"/>
          <w:sz w:val="24"/>
          <w:szCs w:val="24"/>
        </w:rPr>
        <w:t xml:space="preserve">Comb, M. (2026). Universal digital identity stakeholder alignment: Toward context-layered RAG architectures for ecosystem-aware AI. Digital. https://doi.org/10.3390/digital6010004</w:t>
      </w:r>
    </w:p>
    <w:p>
      <w:pPr>
        <w:spacing w:after="120" w:line="360"/>
        <w:ind w:left="720" w:hanging="720"/>
        <w:jc w:val="left"/>
      </w:pPr>
      <w:r>
        <w:rPr>
          <w:rFonts w:ascii="Arial" w:cs="Arial" w:eastAsia="Arial" w:hAnsi="Arial"/>
          <w:sz w:val="24"/>
          <w:szCs w:val="24"/>
        </w:rPr>
        <w:t xml:space="preserve">Dang, H. V. (2025). Smart solutions: IoT and robotics to enhance delivery service efficiency. CCIOT 2025: 10th International Conference on Cloud Computing and Internet of Things. https://doi.org/10.1145/3785520.3785536</w:t>
      </w:r>
    </w:p>
    <w:p>
      <w:pPr>
        <w:spacing w:after="120" w:line="360"/>
        <w:ind w:left="720" w:hanging="720"/>
        <w:jc w:val="left"/>
      </w:pPr>
      <w:r>
        <w:rPr>
          <w:rFonts w:ascii="Arial" w:cs="Arial" w:eastAsia="Arial" w:hAnsi="Arial"/>
          <w:sz w:val="24"/>
          <w:szCs w:val="24"/>
        </w:rPr>
        <w:t xml:space="preserve">Dedema, M. (2026). When generative AI mixes languages: Multilingual users' code-switching behavior in human-LLM interaction. Conference on Human Factors in Computing Systems Proceedings (CHI). https://doi.org/10.1145/3772363.3798492</w:t>
      </w:r>
    </w:p>
    <w:p>
      <w:pPr>
        <w:spacing w:after="120" w:line="360"/>
        <w:ind w:left="720" w:hanging="720"/>
        <w:jc w:val="left"/>
      </w:pPr>
      <w:r>
        <w:rPr>
          <w:rFonts w:ascii="Arial" w:cs="Arial" w:eastAsia="Arial" w:hAnsi="Arial"/>
          <w:sz w:val="24"/>
          <w:szCs w:val="24"/>
        </w:rPr>
        <w:t xml:space="preserve">de Goma, J. (2026). Deep sentiment analysis on online learning tweets using CNN, LSTM. WSSE 2025: 7th World Symposium on Software Engineering. https://doi.org/10.1145/3779657.3779674</w:t>
      </w:r>
    </w:p>
    <w:p>
      <w:pPr>
        <w:spacing w:after="120" w:line="360"/>
        <w:ind w:left="720" w:hanging="720"/>
        <w:jc w:val="left"/>
      </w:pPr>
      <w:r>
        <w:rPr>
          <w:rFonts w:ascii="Arial" w:cs="Arial" w:eastAsia="Arial" w:hAnsi="Arial"/>
          <w:sz w:val="24"/>
          <w:szCs w:val="24"/>
        </w:rPr>
        <w:t xml:space="preserve">Deng, J. (2026). Named entity recognition in Beiyang government documents resources using large language models. Journal of Modern Information. https://doi.org/10.3969/j.issn.1008-0821.2026.03.004</w:t>
      </w:r>
    </w:p>
    <w:p>
      <w:pPr>
        <w:spacing w:after="120" w:line="360"/>
        <w:ind w:left="720" w:hanging="720"/>
        <w:jc w:val="left"/>
      </w:pPr>
      <w:r>
        <w:rPr>
          <w:rFonts w:ascii="Arial" w:cs="Arial" w:eastAsia="Arial" w:hAnsi="Arial"/>
          <w:sz w:val="24"/>
          <w:szCs w:val="24"/>
        </w:rPr>
        <w:t xml:space="preserve">Dennison, D. V. (2026). Shiksha Copilot: Teacher-AI collaboration for curating and customizing lesson plans in low-resource schools. Proceedings of the ACM on Human-Computer Interaction. https://doi.org/10.1145/3788074</w:t>
      </w:r>
    </w:p>
    <w:p>
      <w:pPr>
        <w:spacing w:after="120" w:line="360"/>
        <w:ind w:left="720" w:hanging="720"/>
        <w:jc w:val="left"/>
      </w:pPr>
      <w:r>
        <w:rPr>
          <w:rFonts w:ascii="Arial" w:cs="Arial" w:eastAsia="Arial" w:hAnsi="Arial"/>
          <w:sz w:val="24"/>
          <w:szCs w:val="24"/>
        </w:rPr>
        <w:t xml:space="preserve">Desalegn, E. (2026). Improving Amharic legal question answering with retrieval-augmented generation and locally-sourced data. Knowledge-Based Systems. https://doi.org/10.1016/j.knosys.2026.116194</w:t>
      </w:r>
    </w:p>
    <w:p>
      <w:pPr>
        <w:spacing w:after="120" w:line="360"/>
        <w:ind w:left="720" w:hanging="720"/>
        <w:jc w:val="left"/>
      </w:pPr>
      <w:r>
        <w:rPr>
          <w:rFonts w:ascii="Arial" w:cs="Arial" w:eastAsia="Arial" w:hAnsi="Arial"/>
          <w:sz w:val="24"/>
          <w:szCs w:val="24"/>
        </w:rPr>
        <w:t xml:space="preserve">Douze, M., Guzhva, A., Deng, C., Johnson, J., Szilvasy, G., Mazare, P.-E., Lomeli, M., Hosseini, L., &amp; Jegou, H. (2026). The Faiss library. arXiv preprint arXiv:2401.08281.</w:t>
      </w:r>
    </w:p>
    <w:p>
      <w:pPr>
        <w:spacing w:after="120" w:line="360"/>
        <w:ind w:left="720" w:hanging="720"/>
        <w:jc w:val="left"/>
      </w:pPr>
      <w:r>
        <w:rPr>
          <w:rFonts w:ascii="Arial" w:cs="Arial" w:eastAsia="Arial" w:hAnsi="Arial"/>
          <w:sz w:val="24"/>
          <w:szCs w:val="24"/>
        </w:rPr>
        <w:t xml:space="preserve">Elkiran, H. (2026). Evaluating retriever-reranker pairings in RAG based on quality and efficiency trade-offs. Discover Computing. https://doi.org/10.1007/s10791-026-10156-3</w:t>
      </w:r>
    </w:p>
    <w:p>
      <w:pPr>
        <w:spacing w:after="120" w:line="360"/>
        <w:ind w:left="720" w:hanging="720"/>
        <w:jc w:val="left"/>
      </w:pPr>
      <w:r>
        <w:rPr>
          <w:rFonts w:ascii="Arial" w:cs="Arial" w:eastAsia="Arial" w:hAnsi="Arial"/>
          <w:sz w:val="24"/>
          <w:szCs w:val="24"/>
        </w:rPr>
        <w:t xml:space="preserve">Elmi, Z. (2026). H-ProtoRAG: A hierarchical prototype-based retrieval-augmented framework for multilingual CPC patent classification and prior-art retrieval. Information Processing &amp; Management. https://doi.org/10.1016/j.ipm.2026.104861</w:t>
      </w:r>
    </w:p>
    <w:p>
      <w:pPr>
        <w:spacing w:after="120" w:line="360"/>
        <w:ind w:left="720" w:hanging="720"/>
        <w:jc w:val="left"/>
      </w:pPr>
      <w:r>
        <w:rPr>
          <w:rFonts w:ascii="Arial" w:cs="Arial" w:eastAsia="Arial" w:hAnsi="Arial"/>
          <w:sz w:val="24"/>
          <w:szCs w:val="24"/>
        </w:rPr>
        <w:t xml:space="preserve">Foxlin, E. (2005). Pedestrian tracking with shoe-mounted inertial sensors. IEEE Computer Graphics and Applications, 25(6), 38-46. https://doi.org/10.1109/MCG.2005.140</w:t>
      </w:r>
    </w:p>
    <w:p>
      <w:pPr>
        <w:spacing w:after="120" w:line="360"/>
        <w:ind w:left="720" w:hanging="720"/>
        <w:jc w:val="left"/>
      </w:pPr>
      <w:r>
        <w:rPr>
          <w:rFonts w:ascii="Arial" w:cs="Arial" w:eastAsia="Arial" w:hAnsi="Arial"/>
          <w:sz w:val="24"/>
          <w:szCs w:val="24"/>
        </w:rPr>
        <w:t xml:space="preserve">Fourati, L. C. (2026). Large language models for cyberattack defense: A critical survey. Knowledge and Information Systems. https://doi.org/10.1007/s10115-026-02736-y</w:t>
      </w:r>
    </w:p>
    <w:p>
      <w:pPr>
        <w:spacing w:after="120" w:line="360"/>
        <w:ind w:left="720" w:hanging="720"/>
        <w:jc w:val="left"/>
      </w:pPr>
      <w:r>
        <w:rPr>
          <w:rFonts w:ascii="Arial" w:cs="Arial" w:eastAsia="Arial" w:hAnsi="Arial"/>
          <w:sz w:val="24"/>
          <w:szCs w:val="24"/>
        </w:rPr>
        <w:t xml:space="preserve">Gilbert, S. (2026). Expert perspectives on the ecosystem of medical AI oversight in the GenAI era. npj Digital Medicine. https://doi.org/10.1038/s41746-026-02785-1</w:t>
      </w:r>
    </w:p>
    <w:p>
      <w:pPr>
        <w:spacing w:after="120" w:line="360"/>
        <w:ind w:left="720" w:hanging="720"/>
        <w:jc w:val="left"/>
      </w:pPr>
      <w:r>
        <w:rPr>
          <w:rFonts w:ascii="Arial" w:cs="Arial" w:eastAsia="Arial" w:hAnsi="Arial"/>
          <w:sz w:val="24"/>
          <w:szCs w:val="24"/>
        </w:rPr>
        <w:t xml:space="preserve">Gonzales, W. D. W. (2026). Predicting language choice in a digital medium: A computational approach to analyzing WhatsApp code-switching in Hong Kong. International Journal of Bilingualism. https://doi.org/10.1177/13670069251325036</w:t>
      </w:r>
    </w:p>
    <w:p>
      <w:pPr>
        <w:spacing w:after="120" w:line="360"/>
        <w:ind w:left="720" w:hanging="720"/>
        <w:jc w:val="left"/>
      </w:pPr>
      <w:r>
        <w:rPr>
          <w:rFonts w:ascii="Arial" w:cs="Arial" w:eastAsia="Arial" w:hAnsi="Arial"/>
          <w:sz w:val="24"/>
          <w:szCs w:val="24"/>
        </w:rPr>
        <w:t xml:space="preserve">Gong, W. G. (2026). Reranker optimization via geodesic distances on k-NN manifolds. Transactions on Machine Learning Research.</w:t>
      </w:r>
    </w:p>
    <w:p>
      <w:pPr>
        <w:spacing w:after="120" w:line="360"/>
        <w:ind w:left="720" w:hanging="720"/>
        <w:jc w:val="left"/>
      </w:pPr>
      <w:r>
        <w:rPr>
          <w:rFonts w:ascii="Arial" w:cs="Arial" w:eastAsia="Arial" w:hAnsi="Arial"/>
          <w:sz w:val="24"/>
          <w:szCs w:val="24"/>
        </w:rPr>
        <w:t xml:space="preserve">Guillen-Ramirez, H. (2026). LLM-augmented semantic embeddings enable cross-lingual mapping of medical procedure terms. Scientific Reports. https://doi.org/10.1038/s41598-025-34778-7</w:t>
      </w:r>
    </w:p>
    <w:p>
      <w:pPr>
        <w:spacing w:after="120" w:line="360"/>
        <w:ind w:left="720" w:hanging="720"/>
        <w:jc w:val="left"/>
      </w:pPr>
      <w:r>
        <w:rPr>
          <w:rFonts w:ascii="Arial" w:cs="Arial" w:eastAsia="Arial" w:hAnsi="Arial"/>
          <w:sz w:val="24"/>
          <w:szCs w:val="24"/>
        </w:rPr>
        <w:t xml:space="preserve">Hanmante, S. (2026). InsuranceRAG: A multi-module retrieval-augmented AI system for intelligent insurance assistance. Software Impacts. https://doi.org/10.1016/j.simpa.2026.100844</w:t>
      </w:r>
    </w:p>
    <w:p>
      <w:pPr>
        <w:spacing w:after="120" w:line="360"/>
        <w:ind w:left="720" w:hanging="720"/>
        <w:jc w:val="left"/>
      </w:pPr>
      <w:r>
        <w:rPr>
          <w:rFonts w:ascii="Arial" w:cs="Arial" w:eastAsia="Arial" w:hAnsi="Arial"/>
          <w:sz w:val="24"/>
          <w:szCs w:val="24"/>
        </w:rPr>
        <w:t xml:space="preserve">Harle, R. (2013). A survey of indoor inertial positioning systems for pedestrians. IEEE Communications Surveys &amp; Tutorials, 15(3), 1281-1293. https://doi.org/10.1109/SURV.2012.121912.00075</w:t>
      </w:r>
    </w:p>
    <w:p>
      <w:pPr>
        <w:spacing w:after="120" w:line="360"/>
        <w:ind w:left="720" w:hanging="720"/>
        <w:jc w:val="left"/>
      </w:pPr>
      <w:r>
        <w:rPr>
          <w:rFonts w:ascii="Arial" w:cs="Arial" w:eastAsia="Arial" w:hAnsi="Arial"/>
          <w:sz w:val="24"/>
          <w:szCs w:val="24"/>
        </w:rPr>
        <w:t xml:space="preserve">Hazzazi, M. M. (2025). High accuracy indoor positioning system using Galois field-based cryptography and hybrid deep learning. Scientific Reports. https://doi.org/10.1038/s41598-025-97715-8</w:t>
      </w:r>
    </w:p>
    <w:p>
      <w:pPr>
        <w:spacing w:after="120" w:line="360"/>
        <w:ind w:left="720" w:hanging="720"/>
        <w:jc w:val="left"/>
      </w:pPr>
      <w:r>
        <w:rPr>
          <w:rFonts w:ascii="Arial" w:cs="Arial" w:eastAsia="Arial" w:hAnsi="Arial"/>
          <w:sz w:val="24"/>
          <w:szCs w:val="24"/>
        </w:rPr>
        <w:t xml:space="preserve">Hub, M. (2026). Enhancing usability evaluation with fuzzy logic. Journal of Systems and Software. https://doi.org/10.1016/j.jss.2026.112923</w:t>
      </w:r>
    </w:p>
    <w:p>
      <w:pPr>
        <w:spacing w:after="120" w:line="360"/>
        <w:ind w:left="720" w:hanging="720"/>
        <w:jc w:val="left"/>
      </w:pPr>
      <w:r>
        <w:rPr>
          <w:rFonts w:ascii="Arial" w:cs="Arial" w:eastAsia="Arial" w:hAnsi="Arial"/>
          <w:sz w:val="24"/>
          <w:szCs w:val="24"/>
        </w:rPr>
        <w:t xml:space="preserve">Huynh, M. P. (2026). Detecting AI-generated Vietnamese news articles with multilingual-E5 and BERT. (Scopus-indexed; Multilingual-E5 application).</w:t>
      </w:r>
    </w:p>
    <w:p>
      <w:pPr>
        <w:spacing w:after="120" w:line="360"/>
        <w:ind w:left="720" w:hanging="720"/>
        <w:jc w:val="left"/>
      </w:pPr>
      <w:r>
        <w:rPr>
          <w:rFonts w:ascii="Arial" w:cs="Arial" w:eastAsia="Arial" w:hAnsi="Arial"/>
          <w:sz w:val="24"/>
          <w:szCs w:val="24"/>
        </w:rPr>
        <w:t xml:space="preserve">Jimenez, A. R., Seco, F., Prieto, J. C., &amp; Guevara, J. (2010). Indoor pedestrian navigation using an INS/EKF framework for yaw drift reduction and a foot-mounted IMU. 7th Workshop on Positioning, Navigation and Communication (WPNC), 135-143. https://doi.org/10.1109/WPNC.2010.5649300</w:t>
      </w:r>
    </w:p>
    <w:p>
      <w:pPr>
        <w:spacing w:after="120" w:line="360"/>
        <w:ind w:left="720" w:hanging="720"/>
        <w:jc w:val="left"/>
      </w:pPr>
      <w:r>
        <w:rPr>
          <w:rFonts w:ascii="Arial" w:cs="Arial" w:eastAsia="Arial" w:hAnsi="Arial"/>
          <w:sz w:val="24"/>
          <w:szCs w:val="24"/>
        </w:rPr>
        <w:t xml:space="preserve">Johnson, J., Douze, M., &amp; Jegou, H. (2021). Billion-scale similarity search with GPUs. IEEE Transactions on Big Data, 7(3), 535-547. https://doi.org/10.1109/TBDATA.2019.2921572</w:t>
      </w:r>
    </w:p>
    <w:p>
      <w:pPr>
        <w:spacing w:after="120" w:line="360"/>
        <w:ind w:left="720" w:hanging="720"/>
        <w:jc w:val="left"/>
      </w:pPr>
      <w:r>
        <w:rPr>
          <w:rFonts w:ascii="Arial" w:cs="Arial" w:eastAsia="Arial" w:hAnsi="Arial"/>
          <w:sz w:val="24"/>
          <w:szCs w:val="24"/>
        </w:rPr>
        <w:t xml:space="preserve">Karpukhin, V., Oguz, B., Min, S., Lewis, P., Wu, L., Edunov, S., Chen, D., &amp; Yih, W. (2020). Dense passage retrieval for open-domain question answering. Empirical Methods in Natural Language Processing (EMNLP).</w:t>
      </w:r>
    </w:p>
    <w:p>
      <w:pPr>
        <w:spacing w:after="120" w:line="360"/>
        <w:ind w:left="720" w:hanging="720"/>
        <w:jc w:val="left"/>
      </w:pPr>
      <w:r>
        <w:rPr>
          <w:rFonts w:ascii="Arial" w:cs="Arial" w:eastAsia="Arial" w:hAnsi="Arial"/>
          <w:sz w:val="24"/>
          <w:szCs w:val="24"/>
        </w:rPr>
        <w:t xml:space="preserve">Khujayarov, I. (2026). Development of Uzbek question-answering models through fine-tuning approaches. ICFNDS 2025: 9th International Conference on Future Networks and Distributed Systems. https://doi.org/10.1145/3789692.3789784</w:t>
      </w:r>
    </w:p>
    <w:p>
      <w:pPr>
        <w:spacing w:after="120" w:line="360"/>
        <w:ind w:left="720" w:hanging="720"/>
        <w:jc w:val="left"/>
      </w:pPr>
      <w:r>
        <w:rPr>
          <w:rFonts w:ascii="Arial" w:cs="Arial" w:eastAsia="Arial" w:hAnsi="Arial"/>
          <w:sz w:val="24"/>
          <w:szCs w:val="24"/>
        </w:rPr>
        <w:t xml:space="preserve">Kondo, R. (2025). Domain knowledge distillation for multilingual sentence encoders in cross-lingual sentence similarity estimation. (Scopus-indexed; multilingual encoder distillation).</w:t>
      </w:r>
    </w:p>
    <w:p>
      <w:pPr>
        <w:spacing w:after="120" w:line="360"/>
        <w:ind w:left="720" w:hanging="720"/>
        <w:jc w:val="left"/>
      </w:pPr>
      <w:r>
        <w:rPr>
          <w:rFonts w:ascii="Arial" w:cs="Arial" w:eastAsia="Arial" w:hAnsi="Arial"/>
          <w:sz w:val="24"/>
          <w:szCs w:val="24"/>
        </w:rPr>
        <w:t xml:space="preserve">Lammini, A. (2026). An augmented reality framework for real-time positioning and orientation synchronization of CAD models with physical environments. International Journal of Advanced Manufacturing Technology. https://doi.org/10.1007/s00170-026-17766-7</w:t>
      </w:r>
    </w:p>
    <w:p>
      <w:pPr>
        <w:spacing w:after="120" w:line="360"/>
        <w:ind w:left="720" w:hanging="720"/>
        <w:jc w:val="left"/>
      </w:pPr>
      <w:r>
        <w:rPr>
          <w:rFonts w:ascii="Arial" w:cs="Arial" w:eastAsia="Arial" w:hAnsi="Arial"/>
          <w:sz w:val="24"/>
          <w:szCs w:val="24"/>
        </w:rPr>
        <w:t xml:space="preserve">Li, J. (2026). Patient address parsing via KG-aware contrastive learning and constrained on-prem LLM inference. Scientific Reports. https://doi.org/10.1038/s41598-026-39348-z</w:t>
      </w:r>
    </w:p>
    <w:p>
      <w:pPr>
        <w:spacing w:after="120" w:line="360"/>
        <w:ind w:left="720" w:hanging="720"/>
        <w:jc w:val="left"/>
      </w:pPr>
      <w:r>
        <w:rPr>
          <w:rFonts w:ascii="Arial" w:cs="Arial" w:eastAsia="Arial" w:hAnsi="Arial"/>
          <w:sz w:val="24"/>
          <w:szCs w:val="24"/>
        </w:rPr>
        <w:t xml:space="preserve">Lu, H. (2026). Mutual information-based retrieval-augmented generation for domain question answering. Knowledge and Information Systems. https://doi.org/10.1007/s10115-025-02624-x</w:t>
      </w:r>
    </w:p>
    <w:p>
      <w:pPr>
        <w:spacing w:after="120" w:line="360"/>
        <w:ind w:left="720" w:hanging="720"/>
        <w:jc w:val="left"/>
      </w:pPr>
      <w:r>
        <w:rPr>
          <w:rFonts w:ascii="Arial" w:cs="Arial" w:eastAsia="Arial" w:hAnsi="Arial"/>
          <w:sz w:val="24"/>
          <w:szCs w:val="24"/>
        </w:rPr>
        <w:t xml:space="preserve">Mamun, M. S. A. (2026). A robust fingerprint-based machine learning model for indoor navigation in real time. Signals. https://doi.org/10.3390/signals7020026</w:t>
      </w:r>
    </w:p>
    <w:p>
      <w:pPr>
        <w:spacing w:after="120" w:line="360"/>
        <w:ind w:left="720" w:hanging="720"/>
        <w:jc w:val="left"/>
      </w:pPr>
      <w:r>
        <w:rPr>
          <w:rFonts w:ascii="Arial" w:cs="Arial" w:eastAsia="Arial" w:hAnsi="Arial"/>
          <w:sz w:val="24"/>
          <w:szCs w:val="24"/>
        </w:rPr>
        <w:t xml:space="preserve">Manning, C. D., Raghavan, P., &amp; Schutze, H. (2008). Introduction to Information Retrieval. Cambridge University Press.</w:t>
      </w:r>
    </w:p>
    <w:p>
      <w:pPr>
        <w:spacing w:after="120" w:line="360"/>
        <w:ind w:left="720" w:hanging="720"/>
        <w:jc w:val="left"/>
      </w:pPr>
      <w:r>
        <w:rPr>
          <w:rFonts w:ascii="Arial" w:cs="Arial" w:eastAsia="Arial" w:hAnsi="Arial"/>
          <w:sz w:val="24"/>
          <w:szCs w:val="24"/>
        </w:rPr>
        <w:t xml:space="preserve">Mitsuhashi, N. (2026). ChatTogoVar: A TogoVar-based retrieval-augmented generation system for precise genomic variant interpretation. Human Genome Variation. https://doi.org/10.1038/s41439-026-00344-4</w:t>
      </w:r>
    </w:p>
    <w:p>
      <w:pPr>
        <w:spacing w:after="120" w:line="360"/>
        <w:ind w:left="720" w:hanging="720"/>
        <w:jc w:val="left"/>
      </w:pPr>
      <w:r>
        <w:rPr>
          <w:rFonts w:ascii="Arial" w:cs="Arial" w:eastAsia="Arial" w:hAnsi="Arial"/>
          <w:sz w:val="24"/>
          <w:szCs w:val="24"/>
        </w:rPr>
        <w:t xml:space="preserve">Modic, R. (2025). Offline indoor navigation via QR codes. Communications in Computer and Information Science. https://doi.org/10.1007/978-3-031-78516-0_31</w:t>
      </w:r>
    </w:p>
    <w:p>
      <w:pPr>
        <w:spacing w:after="120" w:line="360"/>
        <w:ind w:left="720" w:hanging="720"/>
        <w:jc w:val="left"/>
      </w:pPr>
      <w:r>
        <w:rPr>
          <w:rFonts w:ascii="Arial" w:cs="Arial" w:eastAsia="Arial" w:hAnsi="Arial"/>
          <w:sz w:val="24"/>
          <w:szCs w:val="24"/>
        </w:rPr>
        <w:t xml:space="preserve">Perez-Maletzki, J. (2026). A chatbot tool on a smart mobile device to promote adherence to home rehabilitation after total knee replacement: A randomized controlled trial. Physiotherapy. https://doi.org/10.1016/j.physio.2025.101872</w:t>
      </w:r>
    </w:p>
    <w:p>
      <w:pPr>
        <w:spacing w:after="120" w:line="360"/>
        <w:ind w:left="720" w:hanging="720"/>
        <w:jc w:val="left"/>
      </w:pPr>
      <w:r>
        <w:rPr>
          <w:rFonts w:ascii="Arial" w:cs="Arial" w:eastAsia="Arial" w:hAnsi="Arial"/>
          <w:sz w:val="24"/>
          <w:szCs w:val="24"/>
        </w:rPr>
        <w:t xml:space="preserve">Qin, C. (2026). CD-ANN: Scalable approximate nearest neighbor search on client-side devices. Journal of Systems Architecture. https://doi.org/10.1016/j.sysarc.2026.103771</w:t>
      </w:r>
    </w:p>
    <w:p>
      <w:pPr>
        <w:spacing w:after="120" w:line="360"/>
        <w:ind w:left="720" w:hanging="720"/>
        <w:jc w:val="left"/>
      </w:pPr>
      <w:r>
        <w:rPr>
          <w:rFonts w:ascii="Arial" w:cs="Arial" w:eastAsia="Arial" w:hAnsi="Arial"/>
          <w:sz w:val="24"/>
          <w:szCs w:val="24"/>
        </w:rPr>
        <w:t xml:space="preserve">Rahman, M. M. (2026). ROS2-based real-time autonomous mapping and navigation: Integrating visual SLAM and sensor fusion with performance analysis under varying lighting conditions. Measurement. https://doi.org/10.1016/j.measurement.2026.120695</w:t>
      </w:r>
    </w:p>
    <w:p>
      <w:pPr>
        <w:spacing w:after="120" w:line="360"/>
        <w:ind w:left="720" w:hanging="720"/>
        <w:jc w:val="left"/>
      </w:pPr>
      <w:r>
        <w:rPr>
          <w:rFonts w:ascii="Arial" w:cs="Arial" w:eastAsia="Arial" w:hAnsi="Arial"/>
          <w:sz w:val="24"/>
          <w:szCs w:val="24"/>
        </w:rPr>
        <w:t xml:space="preserve">Reimers, N., &amp; Gurevych, I. (2019). Sentence-BERT: Sentence embeddings using Siamese BERT-networks. Empirical Methods in Natural Language Processing (EMNLP).</w:t>
      </w:r>
    </w:p>
    <w:p>
      <w:pPr>
        <w:spacing w:after="120" w:line="360"/>
        <w:ind w:left="720" w:hanging="720"/>
        <w:jc w:val="left"/>
      </w:pPr>
      <w:r>
        <w:rPr>
          <w:rFonts w:ascii="Arial" w:cs="Arial" w:eastAsia="Arial" w:hAnsi="Arial"/>
          <w:sz w:val="24"/>
          <w:szCs w:val="24"/>
        </w:rPr>
        <w:t xml:space="preserve">Saeed, T. (2026). Large language models for generative recommendation: A systematic review of data-centric taxonomy, evaluation, and human-centric analytics. International Journal of Data Science and Analytics. https://doi.org/10.1007/s41060-026-01106-9</w:t>
      </w:r>
    </w:p>
    <w:p>
      <w:pPr>
        <w:spacing w:after="120" w:line="360"/>
        <w:ind w:left="720" w:hanging="720"/>
        <w:jc w:val="left"/>
      </w:pPr>
      <w:r>
        <w:rPr>
          <w:rFonts w:ascii="Arial" w:cs="Arial" w:eastAsia="Arial" w:hAnsi="Arial"/>
          <w:sz w:val="24"/>
          <w:szCs w:val="24"/>
        </w:rPr>
        <w:t xml:space="preserve">Sairanbekova, A. (2026). Automatic analysis of political discourse: A comparative study of multilingual and large language models. Journal of Applied Data Sciences. https://doi.org/10.47738/jads.v7i2.1118</w:t>
      </w:r>
    </w:p>
    <w:p>
      <w:pPr>
        <w:spacing w:after="120" w:line="360"/>
        <w:ind w:left="720" w:hanging="720"/>
        <w:jc w:val="left"/>
      </w:pPr>
      <w:r>
        <w:rPr>
          <w:rFonts w:ascii="Arial" w:cs="Arial" w:eastAsia="Arial" w:hAnsi="Arial"/>
          <w:sz w:val="24"/>
          <w:szCs w:val="24"/>
        </w:rPr>
        <w:t xml:space="preserve">Sanyal, P. (2026). RAGMail: A cloud-based retrieval-augmented framework for reducing hallucinations in LLM text generation. Scientific Reports. https://doi.org/10.1038/s41598-026-38913-w</w:t>
      </w:r>
    </w:p>
    <w:p>
      <w:pPr>
        <w:spacing w:after="120" w:line="360"/>
        <w:ind w:left="720" w:hanging="720"/>
        <w:jc w:val="left"/>
      </w:pPr>
      <w:r>
        <w:rPr>
          <w:rFonts w:ascii="Arial" w:cs="Arial" w:eastAsia="Arial" w:hAnsi="Arial"/>
          <w:sz w:val="24"/>
          <w:szCs w:val="24"/>
        </w:rPr>
        <w:t xml:space="preserve">Senadheera, S. (2026). Is responsible AI a public demand? Trust, risk, and persuasion in local government AI. Information Processing &amp; Management. https://doi.org/10.1016/j.ipm.2026.104932</w:t>
      </w:r>
    </w:p>
    <w:p>
      <w:pPr>
        <w:spacing w:after="120" w:line="360"/>
        <w:ind w:left="720" w:hanging="720"/>
        <w:jc w:val="left"/>
      </w:pPr>
      <w:r>
        <w:rPr>
          <w:rFonts w:ascii="Arial" w:cs="Arial" w:eastAsia="Arial" w:hAnsi="Arial"/>
          <w:sz w:val="24"/>
          <w:szCs w:val="24"/>
        </w:rPr>
        <w:t xml:space="preserve">Shi, L. F. (2026). Enhanced step detection algorithm for smartwatch using motion mode recognition and variational mode decomposition. Measurement. https://doi.org/10.1016/j.measurement.2026.121626</w:t>
      </w:r>
    </w:p>
    <w:p>
      <w:pPr>
        <w:spacing w:after="120" w:line="360"/>
        <w:ind w:left="720" w:hanging="720"/>
        <w:jc w:val="left"/>
      </w:pPr>
      <w:r>
        <w:rPr>
          <w:rFonts w:ascii="Arial" w:cs="Arial" w:eastAsia="Arial" w:hAnsi="Arial"/>
          <w:sz w:val="24"/>
          <w:szCs w:val="24"/>
        </w:rPr>
        <w:t xml:space="preserve">Tauhid Ullah Shah, S. (2026). QuaRUM: Qualitative data analysis-based retrieval-augmented UML domain model from requirements documents. Automated Software Engineering. https://doi.org/10.1007/s10515-025-00587-5</w:t>
      </w:r>
    </w:p>
    <w:p>
      <w:pPr>
        <w:spacing w:after="120" w:line="360"/>
        <w:ind w:left="720" w:hanging="720"/>
        <w:jc w:val="left"/>
      </w:pPr>
      <w:r>
        <w:rPr>
          <w:rFonts w:ascii="Arial" w:cs="Arial" w:eastAsia="Arial" w:hAnsi="Arial"/>
          <w:sz w:val="24"/>
          <w:szCs w:val="24"/>
        </w:rPr>
        <w:t xml:space="preserve">Trabelsi, Z. (2026). Dynamic task offloading in vehicular networks using large language models for adaptive low latency decision making. Scientific Reports. https://doi.org/10.1038/s41598-026-39791-y</w:t>
      </w:r>
    </w:p>
    <w:p>
      <w:pPr>
        <w:spacing w:after="120" w:line="360"/>
        <w:ind w:left="720" w:hanging="720"/>
        <w:jc w:val="left"/>
      </w:pPr>
      <w:r>
        <w:rPr>
          <w:rFonts w:ascii="Arial" w:cs="Arial" w:eastAsia="Arial" w:hAnsi="Arial"/>
          <w:sz w:val="24"/>
          <w:szCs w:val="24"/>
        </w:rPr>
        <w:t xml:space="preserve">Tua, H. M. (2026). A lightweight privacy-preserving reranker enables customizable hybrid retrieval for enterprise document search. Discover Computing. https://doi.org/10.1007/s10791-026-09993-z</w:t>
      </w:r>
    </w:p>
    <w:p>
      <w:pPr>
        <w:spacing w:after="120" w:line="360"/>
        <w:ind w:left="720" w:hanging="720"/>
        <w:jc w:val="left"/>
      </w:pPr>
      <w:r>
        <w:rPr>
          <w:rFonts w:ascii="Arial" w:cs="Arial" w:eastAsia="Arial" w:hAnsi="Arial"/>
          <w:sz w:val="24"/>
          <w:szCs w:val="24"/>
        </w:rPr>
        <w:t xml:space="preserve">Turan, M. (2026). Search at scale: Quantifying the performance trade-offs of ANNS on Milvus. International Journal of Software Engineering and Knowledge Engineering. https://doi.org/10.1142/S0218194026500130</w:t>
      </w:r>
    </w:p>
    <w:p>
      <w:pPr>
        <w:spacing w:after="120" w:line="360"/>
        <w:ind w:left="720" w:hanging="720"/>
        <w:jc w:val="left"/>
      </w:pPr>
      <w:r>
        <w:rPr>
          <w:rFonts w:ascii="Arial" w:cs="Arial" w:eastAsia="Arial" w:hAnsi="Arial"/>
          <w:sz w:val="24"/>
          <w:szCs w:val="24"/>
        </w:rPr>
        <w:t xml:space="preserve">Utami, L. A. (2026). A hybrid TF-IDF and knowledge graph-enhanced retrieval-augmented generation framework with large language models for domain-aware question answering. Journal of Applied Data Sciences. https://doi.org/10.47738/jads.v7i2.1136</w:t>
      </w:r>
    </w:p>
    <w:p>
      <w:pPr>
        <w:spacing w:after="120" w:line="360"/>
        <w:ind w:left="720" w:hanging="720"/>
        <w:jc w:val="left"/>
      </w:pPr>
      <w:r>
        <w:rPr>
          <w:rFonts w:ascii="Arial" w:cs="Arial" w:eastAsia="Arial" w:hAnsi="Arial"/>
          <w:sz w:val="24"/>
          <w:szCs w:val="24"/>
        </w:rPr>
        <w:t xml:space="preserve">Wang, L., Yang, N., Huang, X., Yang, L., Majumder, R., &amp; Wei, F. (2024). Multilingual E5 text embeddings: A technical report. arXiv preprint arXiv:2402.05672.</w:t>
      </w:r>
    </w:p>
    <w:p>
      <w:pPr>
        <w:spacing w:after="120" w:line="360"/>
        <w:ind w:left="720" w:hanging="720"/>
        <w:jc w:val="left"/>
      </w:pPr>
      <w:r>
        <w:rPr>
          <w:rFonts w:ascii="Arial" w:cs="Arial" w:eastAsia="Arial" w:hAnsi="Arial"/>
          <w:sz w:val="24"/>
          <w:szCs w:val="24"/>
        </w:rPr>
        <w:t xml:space="preserve">Waqas, M. (2026). cairnsearch: A privacy-first hybrid search and local RAG system for personal document collections. SoftwareX. https://doi.org/10.1016/j.softx.2026.102742</w:t>
      </w:r>
    </w:p>
    <w:p>
      <w:pPr>
        <w:spacing w:after="120" w:line="360"/>
        <w:ind w:left="720" w:hanging="720"/>
        <w:jc w:val="left"/>
      </w:pPr>
      <w:r>
        <w:rPr>
          <w:rFonts w:ascii="Arial" w:cs="Arial" w:eastAsia="Arial" w:hAnsi="Arial"/>
          <w:sz w:val="24"/>
          <w:szCs w:val="24"/>
        </w:rPr>
        <w:t xml:space="preserve">Widiyaningtyas, T. (2026). Groundedness-aware retrieval in government document chatbots: Systematic literature review and Semantic Alignment Score (SAS) formulation. Journal of Engineering and Technology for Industrial Applications. https://doi.org/10.5935/jetia.v12i58.3013</w:t>
      </w:r>
    </w:p>
    <w:p>
      <w:pPr>
        <w:spacing w:after="120" w:line="360"/>
        <w:ind w:left="720" w:hanging="720"/>
        <w:jc w:val="left"/>
      </w:pPr>
      <w:r>
        <w:rPr>
          <w:rFonts w:ascii="Arial" w:cs="Arial" w:eastAsia="Arial" w:hAnsi="Arial"/>
          <w:sz w:val="24"/>
          <w:szCs w:val="24"/>
        </w:rPr>
        <w:t xml:space="preserve">Xiao, S., Liu, Z., Zhang, P., &amp; Muennighoff, N. (2024). C-Pack: Packaged resources to advance general Chinese embedding. SIGIR 2024. arXiv:2309.07597</w:t>
      </w:r>
    </w:p>
    <w:p>
      <w:pPr>
        <w:spacing w:after="120" w:line="360"/>
        <w:ind w:left="720" w:hanging="720"/>
        <w:jc w:val="left"/>
      </w:pPr>
      <w:r>
        <w:rPr>
          <w:rFonts w:ascii="Arial" w:cs="Arial" w:eastAsia="Arial" w:hAnsi="Arial"/>
          <w:sz w:val="24"/>
          <w:szCs w:val="24"/>
        </w:rPr>
        <w:t xml:space="preserve">Xu, W. (2026). Proxima: Near-storage acceleration for graph-based approximate nearest neighbor search in 3D NAND. IEEE Transactions on Computers. https://doi.org/10.1109/TC.2026.3671718</w:t>
      </w:r>
    </w:p>
    <w:p>
      <w:pPr>
        <w:spacing w:after="120" w:line="360"/>
        <w:ind w:left="720" w:hanging="720"/>
        <w:jc w:val="left"/>
      </w:pPr>
      <w:r>
        <w:rPr>
          <w:rFonts w:ascii="Arial" w:cs="Arial" w:eastAsia="Arial" w:hAnsi="Arial"/>
          <w:sz w:val="24"/>
          <w:szCs w:val="24"/>
        </w:rPr>
        <w:t xml:space="preserve">Yadav, R. (2026). Cross-lingual sentiment analysis via multimodal transformer fusion and lightweight deep ensemble learning framework. Knowledge and Information Systems. https://doi.org/10.1007/s10115-026-02768-4</w:t>
      </w:r>
    </w:p>
    <w:p>
      <w:pPr>
        <w:spacing w:after="120" w:line="360"/>
        <w:ind w:left="720" w:hanging="720"/>
        <w:jc w:val="left"/>
      </w:pPr>
      <w:r>
        <w:rPr>
          <w:rFonts w:ascii="Arial" w:cs="Arial" w:eastAsia="Arial" w:hAnsi="Arial"/>
          <w:sz w:val="24"/>
          <w:szCs w:val="24"/>
        </w:rPr>
        <w:t xml:space="preserve">Yang, B. (2025). Spatial geometry theory-based algorithm for accurate positioning with single vision beacon. IEEE Transactions on Automation Science and Engineering. https://doi.org/10.1109/TASE.2025.3552107</w:t>
      </w:r>
    </w:p>
    <w:p>
      <w:pPr>
        <w:spacing w:after="120" w:line="360"/>
        <w:ind w:left="720" w:hanging="720"/>
        <w:jc w:val="left"/>
      </w:pPr>
      <w:r>
        <w:rPr>
          <w:rFonts w:ascii="Arial" w:cs="Arial" w:eastAsia="Arial" w:hAnsi="Arial"/>
          <w:sz w:val="24"/>
          <w:szCs w:val="24"/>
        </w:rPr>
        <w:t xml:space="preserve">Yoo, H. K. (2026). ToR-Lite: A lightweight semantic query decomposition for multi-hop retrieval-augmented generation in cloud-based AI systems. Applied Sciences (Switzerland). https://doi.org/10.3390/app16083966</w:t>
      </w:r>
    </w:p>
    <w:p>
      <w:pPr>
        <w:spacing w:after="120" w:line="360"/>
        <w:ind w:left="720" w:hanging="720"/>
        <w:jc w:val="left"/>
      </w:pPr>
      <w:r>
        <w:rPr>
          <w:rFonts w:ascii="Arial" w:cs="Arial" w:eastAsia="Arial" w:hAnsi="Arial"/>
          <w:sz w:val="24"/>
          <w:szCs w:val="24"/>
        </w:rPr>
        <w:t xml:space="preserve">Yu, F. (2026). VDM-IOG, a framework of inference on graph in retrieval-augmented generation for vulnerability description mapping. Cybersecurity. https://doi.org/10.1186/s42400-025-00413-1</w:t>
      </w:r>
    </w:p>
    <w:p>
      <w:pPr>
        <w:spacing w:after="120" w:line="360"/>
        <w:ind w:left="720" w:hanging="720"/>
        <w:jc w:val="left"/>
      </w:pPr>
      <w:r>
        <w:rPr>
          <w:rFonts w:ascii="Arial" w:cs="Arial" w:eastAsia="Arial" w:hAnsi="Arial"/>
          <w:sz w:val="24"/>
          <w:szCs w:val="24"/>
        </w:rPr>
        <w:t xml:space="preserve">Zhao, W. X. (2026). A survey of large language models. Frontiers of Computer Science. https://doi.org/10.1007/s11704-026-60308-3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Related Literature - Geo-Agentic RAG</dc:title>
  <dc:creator>Jester C. Penaranda</dc:creator>
  <cp:lastModifiedBy>Un-named</cp:lastModifiedBy>
  <cp:revision>1</cp:revision>
  <dcterms:created xsi:type="dcterms:W3CDTF">2026-06-01T09:35:53.980Z</dcterms:created>
  <dcterms:modified xsi:type="dcterms:W3CDTF">2026-06-01T09:35:53.983Z</dcterms:modified>
</cp:coreProperties>
</file>

<file path=docProps/custom.xml><?xml version="1.0" encoding="utf-8"?>
<Properties xmlns="http://schemas.openxmlformats.org/officeDocument/2006/custom-properties" xmlns:vt="http://schemas.openxmlformats.org/officeDocument/2006/docPropsVTypes"/>
</file>