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40AF"/>
          <w:sz w:val="40"/>
          <w:szCs w:val="40"/>
        </w:rPr>
        <w:t xml:space="preserve">Evaluation Instrument Package</w:t>
      </w:r>
    </w:p>
    <w:p>
      <w:pPr>
        <w:spacing w:after="60"/>
      </w:pPr>
      <w:r>
        <w:rPr>
          <w:color w:val="64748B"/>
          <w:sz w:val="24"/>
          <w:szCs w:val="24"/>
        </w:rPr>
        <w:t xml:space="preserve">Geo-Agentic RAG Intelligent System — Calamba City Hall</w:t>
      </w:r>
    </w:p>
    <w:p>
      <w:pPr>
        <w:pBdr>
          <w:bottom w:val="single" w:color="1E40AF" w:sz="6" w:space="4"/>
        </w:pBdr>
        <w:spacing w:after="220"/>
      </w:pPr>
      <w:r>
        <w:rPr>
          <w:color w:val="64748B"/>
          <w:sz w:val="20"/>
          <w:szCs w:val="20"/>
        </w:rPr>
        <w:t xml:space="preserve">System Usability Scale (SUS) · ISO/IEC 25010:2011 · Task Script · Consent</w:t>
      </w:r>
    </w:p>
    <w:p>
      <w:pPr>
        <w:spacing w:after="120"/>
      </w:pPr>
      <w:r>
        <w:rPr>
          <w:i/>
          <w:iCs/>
        </w:rPr>
        <w:t xml:space="preserve">This package contains everything needed to run the SOP 4 evaluation: the consent form, the task script that respondents complete before answering, the System Usability Scale, and two ISO/IEC 25010:2011 questionnaires — one for citizens and one for technical evaluators. Scoring keys and interpretation scales are at the end.</w:t>
      </w:r>
    </w:p>
    <w:p>
      <w:pPr>
        <w:pStyle w:val="Heading1"/>
      </w:pPr>
      <w:r>
        <w:t xml:space="preserve">Administration protocol</w:t>
      </w:r>
    </w:p>
    <w:p>
      <w:pPr>
        <w:spacing w:after="120"/>
      </w:pPr>
      <w:r>
        <w:rPr>
          <w:b/>
          <w:bCs/>
        </w:rPr>
        <w:t xml:space="preserve">Order of administration — this sequence matters:</w:t>
      </w:r>
    </w:p>
    <w:p>
      <w:pPr>
        <w:pStyle w:val="ListParagraph"/>
        <w:numPr>
          <w:ilvl w:val="0"/>
          <w:numId w:val="2"/>
        </w:numPr>
      </w:pPr>
      <w:r>
        <w:t xml:space="preserve">Informed consent (Part A) — signed before anything else.</w:t>
      </w:r>
    </w:p>
    <w:p>
      <w:pPr>
        <w:pStyle w:val="ListParagraph"/>
        <w:numPr>
          <w:ilvl w:val="0"/>
          <w:numId w:val="2"/>
        </w:numPr>
      </w:pPr>
      <w:r>
        <w:t xml:space="preserve">Task script (Part B) — the respondent uses the live system while the facilitator records observations. SUS is only valid after genuine use; never administer it from a description or demonstration.</w:t>
      </w:r>
    </w:p>
    <w:p>
      <w:pPr>
        <w:pStyle w:val="ListParagraph"/>
        <w:numPr>
          <w:ilvl w:val="0"/>
          <w:numId w:val="2"/>
        </w:numPr>
      </w:pPr>
      <w:r>
        <w:t xml:space="preserve">SUS (Part C) — immediately after the tasks, before any discussion.</w:t>
      </w:r>
    </w:p>
    <w:p>
      <w:pPr>
        <w:pStyle w:val="ListParagraph"/>
        <w:numPr>
          <w:ilvl w:val="0"/>
          <w:numId w:val="2"/>
        </w:numPr>
      </w:pPr>
      <w:r>
        <w:t xml:space="preserve">ISO/IEC 25010 (Part D for citizens, Part E for technical evaluators).</w:t>
      </w:r>
    </w:p>
    <w:p>
      <w:pPr>
        <w:pStyle w:val="Heading2"/>
      </w:pPr>
      <w:r>
        <w:t xml:space="preserve">Proposed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000"/>
        <w:gridCol w:w="3960"/>
      </w:tblGrid>
      <w:tr>
        <w:tc>
          <w:tcPr>
            <w:tcW w:type="dxa" w:w="230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Group</w:t>
            </w:r>
          </w:p>
        </w:tc>
        <w:tc>
          <w:tcPr>
            <w:tcW w:type="dxa" w:w="110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Proposed n</w:t>
            </w:r>
          </w:p>
        </w:tc>
        <w:tc>
          <w:tcPr>
            <w:tcW w:type="dxa" w:w="200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Instruments</w:t>
            </w:r>
          </w:p>
        </w:tc>
        <w:tc>
          <w:tcPr>
            <w:tcW w:type="dxa" w:w="39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Justification</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Citizens / walk-in clients</w:t>
            </w:r>
          </w:p>
        </w:tc>
        <w:tc>
          <w:tcPr>
            <w:tcW w:type="dxa" w:w="11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30</w:t>
            </w:r>
          </w:p>
        </w:tc>
        <w:tc>
          <w:tcPr>
            <w:tcW w:type="dxa" w:w="20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Tasks, SUS, ISO Part D</w:t>
            </w:r>
          </w:p>
        </w:tc>
        <w:tc>
          <w:tcPr>
            <w:tcW w:type="dxa" w:w="39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SUS estimates stabilise at roughly 20–30 respondents; 30 also supports descriptive statistics per item.</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Municipal staff &amp; administrators</w:t>
            </w:r>
          </w:p>
        </w:tc>
        <w:tc>
          <w:tcPr>
            <w:tcW w:type="dxa" w:w="11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10</w:t>
            </w:r>
          </w:p>
        </w:tc>
        <w:tc>
          <w:tcPr>
            <w:tcW w:type="dxa" w:w="20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Tasks, SUS, ISO Part D</w:t>
            </w:r>
          </w:p>
        </w:tc>
        <w:tc>
          <w:tcPr>
            <w:tcW w:type="dxa" w:w="39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Front-line users of the analytics dashboard and the office directory.</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IT experts / technical evaluators</w:t>
            </w:r>
          </w:p>
        </w:tc>
        <w:tc>
          <w:tcPr>
            <w:tcW w:type="dxa" w:w="11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8</w:t>
            </w:r>
          </w:p>
        </w:tc>
        <w:tc>
          <w:tcPr>
            <w:tcW w:type="dxa" w:w="20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ISO Part E</w:t>
            </w:r>
          </w:p>
        </w:tc>
        <w:tc>
          <w:tcPr>
            <w:tcW w:type="dxa" w:w="39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Purposive sampling; judges maintainability, portability and security, which end users cannot assess.</w:t>
            </w:r>
          </w:p>
        </w:tc>
      </w:tr>
    </w:tbl>
    <w:p>
      <w:pPr>
        <w:spacing w:after="120"/>
      </w:pPr>
      <w:r>
        <w:rPr>
          <w:i/>
          <w:iCs/>
        </w:rPr>
        <w:t xml:space="preserve">Adjust to match your approved research design — these are defensible defaults, not requirements.</w:t>
      </w:r>
    </w:p>
    <w:p>
      <w:pPr>
        <w:pStyle w:val="Heading2"/>
      </w:pPr>
      <w:r>
        <w:t xml:space="preserve">Facilitator notes</w:t>
      </w:r>
    </w:p>
    <w:p>
      <w:pPr>
        <w:pStyle w:val="ListParagraph"/>
        <w:numPr>
          <w:ilvl w:val="0"/>
          <w:numId w:val="3"/>
        </w:numPr>
      </w:pPr>
      <w:r>
        <w:t xml:space="preserve">Run respondents one at a time, or in small staggered batches. Simultaneous group use can hit the language-model provider's rate limit, and a 'busy, try again' message would depress scores for reasons unrelated to usability.</w:t>
      </w:r>
    </w:p>
    <w:p>
      <w:pPr>
        <w:pStyle w:val="ListParagraph"/>
        <w:numPr>
          <w:ilvl w:val="0"/>
          <w:numId w:val="3"/>
        </w:numPr>
      </w:pPr>
      <w:r>
        <w:t xml:space="preserve">Verify the system is healthy on the morning of each session before the first respondent arrives.</w:t>
      </w:r>
    </w:p>
    <w:p>
      <w:pPr>
        <w:pStyle w:val="ListParagraph"/>
        <w:numPr>
          <w:ilvl w:val="0"/>
          <w:numId w:val="3"/>
        </w:numPr>
      </w:pPr>
      <w:r>
        <w:t xml:space="preserve">Do not coach. Record where respondents hesitate — that is the qualitative data behind the scores.</w:t>
      </w:r>
    </w:p>
    <w:p>
      <w:pPr>
        <w:pStyle w:val="ListParagraph"/>
        <w:numPr>
          <w:ilvl w:val="0"/>
          <w:numId w:val="3"/>
        </w:numPr>
      </w:pPr>
      <w:r>
        <w:t xml:space="preserve">Keep the chat's starter chips fixed during the study so every respondent sees identical stimuli.</w:t>
      </w:r>
    </w:p>
    <w:p>
      <w:r>
        <w:br w:type="page"/>
      </w:r>
    </w:p>
    <w:p>
      <w:pPr>
        <w:pStyle w:val="Heading1"/>
      </w:pPr>
      <w:r>
        <w:t xml:space="preserve">Part A — Informed consent</w:t>
      </w:r>
    </w:p>
    <w:p>
      <w:pPr>
        <w:spacing w:after="120"/>
      </w:pPr>
      <w:r>
        <w:rPr>
          <w:b/>
          <w:bCs/>
        </w:rPr>
        <w:t xml:space="preserve">Study: Geo-Agentic RAG: A Framework for Integrated Document Services, Wayfinding, and Administrative Analytics for Local Government Offices</w:t>
      </w:r>
    </w:p>
    <w:p>
      <w:pPr>
        <w:spacing w:after="120"/>
      </w:pPr>
      <w:r>
        <w:t xml:space="preserve">Researcher: Jester C. Penaranda, Doctor in Information Technology, La Consolacion University Philippines</w:t>
      </w:r>
    </w:p>
    <w:p>
      <w:pPr>
        <w:pBdr>
          <w:bottom w:val="single" w:color="D4D4D4" w:sz="4" w:space="2"/>
        </w:pBdr>
        <w:spacing w:after="160"/>
      </w:pPr>
      <w:r>
        <w:t xml:space="preserve"/>
      </w:r>
    </w:p>
    <w:p>
      <w:pPr>
        <w:spacing w:after="120"/>
      </w:pPr>
      <w:r>
        <w:t xml:space="preserve">Purpose. You are invited to take part in the evaluation of a system that helps citizens ask about City Hall services and find the correct office inside the building. Your participation will help measure how usable and how good the system is.</w:t>
      </w:r>
    </w:p>
    <w:p>
      <w:pPr>
        <w:spacing w:after="120"/>
      </w:pPr>
      <w:r>
        <w:t xml:space="preserve">What you will do. You will be asked to complete a few short tasks using the system on a phone or tablet, then answer two short questionnaires. The whole session takes about 20 to 25 minutes.</w:t>
      </w:r>
    </w:p>
    <w:p>
      <w:pPr>
        <w:spacing w:after="120"/>
      </w:pPr>
      <w:r>
        <w:t xml:space="preserve">Voluntary participation. Your participation is entirely voluntary. You may decline to answer any question and may withdraw at any time, without giving a reason and without any consequence to the services you receive from the City Government.</w:t>
      </w:r>
    </w:p>
    <w:p>
      <w:pPr>
        <w:spacing w:after="120"/>
      </w:pPr>
      <w:r>
        <w:t xml:space="preserve">Data and privacy. Your responses are anonymous. Your name is recorded on this consent form only and is never linked to your answers. No personal, financial, or transaction information is collected. The system stores only anonymous records of the questions asked. Data are kept securely, used solely for this academic study, and handled in accordance with Republic Act No. 10173, the Data Privacy Act of 2012.</w:t>
      </w:r>
    </w:p>
    <w:p>
      <w:pPr>
        <w:spacing w:after="120"/>
      </w:pPr>
      <w:r>
        <w:t xml:space="preserve">Risks and benefits. There are no known risks. There is no payment for participation. Your feedback will help improve public service delivery at Calamba City Hall.</w:t>
      </w:r>
    </w:p>
    <w:p>
      <w:pPr>
        <w:spacing w:after="120"/>
      </w:pPr>
      <w:r>
        <w:t xml:space="preserve">Contact. Questions about the study may be directed to the researcher or to the Graduate School Department, La Consolacion University Philippines.</w:t>
      </w:r>
    </w:p>
    <w:p>
      <w:pPr>
        <w:pBdr>
          <w:bottom w:val="single" w:color="D4D4D4" w:sz="4" w:space="2"/>
        </w:pBdr>
        <w:spacing w:after="160"/>
      </w:pPr>
      <w:r>
        <w:t xml:space="preserve"/>
      </w:r>
    </w:p>
    <w:p>
      <w:pPr>
        <w:spacing w:after="120"/>
      </w:pPr>
      <w:r>
        <w:rPr>
          <w:b/>
          <w:bCs/>
        </w:rPr>
        <w:t xml:space="preserve">Consent statement</w:t>
      </w:r>
    </w:p>
    <w:p>
      <w:pPr>
        <w:spacing w:after="120"/>
      </w:pPr>
      <w:r>
        <w:t xml:space="preserve">I have read and understood the information above. My questions have been answered. I agree to take part in this study, and I understand that I may withdraw at any 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3200"/>
        <w:gridCol w:w="2200"/>
      </w:tblGrid>
      <w:tr>
        <w:tc>
          <w:tcPr>
            <w:tcW w:type="dxa" w:w="39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Name (printed)</w:t>
            </w:r>
          </w:p>
        </w:tc>
        <w:tc>
          <w:tcPr>
            <w:tcW w:type="dxa" w:w="320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Signature</w:t>
            </w:r>
          </w:p>
        </w:tc>
        <w:tc>
          <w:tcPr>
            <w:tcW w:type="dxa" w:w="220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Date</w:t>
            </w:r>
          </w:p>
        </w:tc>
      </w:tr>
      <w:tr>
        <w:tc>
          <w:tcPr>
            <w:tcW w:type="dxa" w:w="39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c>
          <w:tcPr>
            <w:tcW w:type="dxa" w:w="32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c>
          <w:tcPr>
            <w:tcW w:type="dxa" w:w="22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r>
    </w:tbl>
    <w:p>
      <w:pPr>
        <w:spacing w:after="120"/>
      </w:pPr>
      <w:r>
        <w:t xml:space="preserve"/>
      </w:r>
    </w:p>
    <w:p>
      <w:pPr>
        <w:spacing w:after="120"/>
      </w:pPr>
      <w:r>
        <w:t xml:space="preserve">Respondent group:   ☐ Citizen / client     ☐ Municipal staff     ☐ Administrator     ☐ IT expert</w:t>
      </w:r>
    </w:p>
    <w:p>
      <w:pPr>
        <w:spacing w:after="120"/>
      </w:pPr>
      <w:r>
        <w:rPr>
          <w:b/>
          <w:bCs/>
        </w:rPr>
        <w:t xml:space="preserve">Respondent ID (assigned by facilitator): ______________</w:t>
      </w:r>
    </w:p>
    <w:p>
      <w:r>
        <w:br w:type="page"/>
      </w:r>
    </w:p>
    <w:p>
      <w:pPr>
        <w:pStyle w:val="Heading1"/>
      </w:pPr>
      <w:r>
        <w:t xml:space="preserve">Part B — Task script and observation sheet</w:t>
      </w:r>
    </w:p>
    <w:p>
      <w:pPr>
        <w:spacing w:after="120"/>
      </w:pPr>
      <w:r>
        <w:t xml:space="preserve">Facilitator: read each task aloud, then observe without assisting. Record the outcome before moving on. Stop a task at 5 minutes and mark it as not completed.</w:t>
      </w:r>
    </w:p>
    <w:p>
      <w:pPr>
        <w:spacing w:after="120"/>
      </w:pPr>
      <w:r>
        <w:t xml:space="preserve">Respondent ID: ______________     Date: ______________     Device: ☐ own phone  ☐ provided phone</w:t>
      </w:r>
    </w:p>
    <w:p>
      <w:pPr>
        <w:spacing w:after="120"/>
      </w:pPr>
      <w:r>
        <w:t xml:space="preserve"/>
      </w:r>
    </w:p>
    <w:p>
      <w:pPr>
        <w:pStyle w:val="Heading2"/>
      </w:pPr>
      <w:r>
        <w:t xml:space="preserve">Task 1 — Find the requirements for a service</w:t>
      </w:r>
    </w:p>
    <w:p>
      <w:pPr>
        <w:spacing w:after="120"/>
      </w:pPr>
      <w:r>
        <w:t xml:space="preserve">“You want to apply for a business permit. Use the system to find out what requirements you need to bring.”</w:t>
      </w:r>
    </w:p>
    <w:p>
      <w:pPr>
        <w:spacing w:after="120"/>
      </w:pPr>
      <w:r>
        <w:rPr>
          <w:i/>
          <w:iCs/>
        </w:rPr>
        <w:t xml:space="preserve">Success criterion: the respondent reaches an answer listing the requirements.</w:t>
      </w:r>
    </w:p>
    <w:p>
      <w:pPr>
        <w:pStyle w:val="Heading2"/>
      </w:pPr>
      <w:r>
        <w:t xml:space="preserve">Task 2 — Navigate to the office</w:t>
      </w:r>
    </w:p>
    <w:p>
      <w:pPr>
        <w:spacing w:after="120"/>
      </w:pPr>
      <w:r>
        <w:t xml:space="preserve">“Now find out where in City Hall you need to go for that, and follow the directions the system gives you.”</w:t>
      </w:r>
    </w:p>
    <w:p>
      <w:pPr>
        <w:spacing w:after="120"/>
      </w:pPr>
      <w:r>
        <w:rPr>
          <w:i/>
          <w:iCs/>
        </w:rPr>
        <w:t xml:space="preserve">Success criterion: the respondent opens the route and can state the office and the direction to walk.</w:t>
      </w:r>
    </w:p>
    <w:p>
      <w:pPr>
        <w:pStyle w:val="Heading2"/>
      </w:pPr>
      <w:r>
        <w:t xml:space="preserve">Task 3 — A different service, in your own words</w:t>
      </w:r>
    </w:p>
    <w:p>
      <w:pPr>
        <w:spacing w:after="120"/>
      </w:pPr>
      <w:r>
        <w:t xml:space="preserve">“Someone in your family needs a copy of a birth certificate. Ask the system about it, however you would normally say it.”</w:t>
      </w:r>
    </w:p>
    <w:p>
      <w:pPr>
        <w:spacing w:after="120"/>
      </w:pPr>
      <w:r>
        <w:rPr>
          <w:i/>
          <w:iCs/>
        </w:rPr>
        <w:t xml:space="preserve">Success criterion: the respondent reaches the Civil Registry answer. This task deliberately tests free-text phrasing rather than the suggested buttons.</w:t>
      </w:r>
    </w:p>
    <w:p>
      <w:pPr>
        <w:pStyle w:val="Heading2"/>
      </w:pPr>
      <w:r>
        <w:t xml:space="preserve">Task 4 — Re-orient (navigation only)</w:t>
      </w:r>
    </w:p>
    <w:p>
      <w:pPr>
        <w:spacing w:after="120"/>
      </w:pPr>
      <w:r>
        <w:t xml:space="preserve">“Imagine you got lost along the way. Show me how you would tell the system where you are now.”</w:t>
      </w:r>
    </w:p>
    <w:p>
      <w:pPr>
        <w:spacing w:after="120"/>
      </w:pPr>
      <w:r>
        <w:rPr>
          <w:i/>
          <w:iCs/>
        </w:rPr>
        <w:t xml:space="preserve">Success criterion: the respondent finds the QR scan or re-scan option.</w:t>
      </w:r>
    </w:p>
    <w:p>
      <w:pPr>
        <w:spacing w:after="120"/>
      </w:pPr>
      <w:r>
        <w:t xml:space="preserve"/>
      </w:r>
    </w:p>
    <w:p>
      <w:pPr>
        <w:spacing w:after="120"/>
      </w:pPr>
      <w:r>
        <w:rPr>
          <w:b/>
          <w:bCs/>
        </w:rPr>
        <w:t xml:space="preserve">Observation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400"/>
        <w:gridCol w:w="1400"/>
        <w:gridCol w:w="4160"/>
      </w:tblGrid>
      <w:tr>
        <w:tc>
          <w:tcPr>
            <w:tcW w:type="dxa" w:w="90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Task</w:t>
            </w:r>
          </w:p>
        </w:tc>
        <w:tc>
          <w:tcPr>
            <w:tcW w:type="dxa" w:w="150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Completed (Y/N)</w:t>
            </w:r>
          </w:p>
        </w:tc>
        <w:tc>
          <w:tcPr>
            <w:tcW w:type="dxa" w:w="140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Time (mm:ss)</w:t>
            </w:r>
          </w:p>
        </w:tc>
        <w:tc>
          <w:tcPr>
            <w:tcW w:type="dxa" w:w="140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Assists given</w:t>
            </w:r>
          </w:p>
        </w:tc>
        <w:tc>
          <w:tcPr>
            <w:tcW w:type="dxa" w:w="41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Errors / hesitations observed</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w:t>
            </w:r>
          </w:p>
        </w:tc>
        <w:tc>
          <w:tcPr>
            <w:tcW w:type="dxa" w:w="15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c>
          <w:tcPr>
            <w:tcW w:type="dxa" w:w="14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c>
          <w:tcPr>
            <w:tcW w:type="dxa" w:w="14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c>
          <w:tcPr>
            <w:tcW w:type="dxa" w:w="41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2</w:t>
            </w:r>
          </w:p>
        </w:tc>
        <w:tc>
          <w:tcPr>
            <w:tcW w:type="dxa" w:w="15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c>
          <w:tcPr>
            <w:tcW w:type="dxa" w:w="14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c>
          <w:tcPr>
            <w:tcW w:type="dxa" w:w="14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c>
          <w:tcPr>
            <w:tcW w:type="dxa" w:w="41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3</w:t>
            </w:r>
          </w:p>
        </w:tc>
        <w:tc>
          <w:tcPr>
            <w:tcW w:type="dxa" w:w="15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c>
          <w:tcPr>
            <w:tcW w:type="dxa" w:w="14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c>
          <w:tcPr>
            <w:tcW w:type="dxa" w:w="14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c>
          <w:tcPr>
            <w:tcW w:type="dxa" w:w="41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4</w:t>
            </w:r>
          </w:p>
        </w:tc>
        <w:tc>
          <w:tcPr>
            <w:tcW w:type="dxa" w:w="15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c>
          <w:tcPr>
            <w:tcW w:type="dxa" w:w="14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c>
          <w:tcPr>
            <w:tcW w:type="dxa" w:w="14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c>
          <w:tcPr>
            <w:tcW w:type="dxa" w:w="41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
            </w:r>
          </w:p>
        </w:tc>
      </w:tr>
    </w:tbl>
    <w:p>
      <w:pPr>
        <w:spacing w:after="120"/>
      </w:pPr>
      <w:r>
        <w:t xml:space="preserve"/>
      </w:r>
    </w:p>
    <w:p>
      <w:pPr>
        <w:spacing w:after="120"/>
      </w:pPr>
      <w:r>
        <w:rPr>
          <w:i/>
          <w:iCs/>
        </w:rPr>
        <w:t xml:space="preserve">These four rows supply the navigation-performance measures required by SOP 4.2.2: task completion rate, task completion time, and assisted-completion rate.</w:t>
      </w:r>
    </w:p>
    <w:p>
      <w:r>
        <w:br w:type="page"/>
      </w:r>
    </w:p>
    <w:p>
      <w:pPr>
        <w:pStyle w:val="Heading1"/>
      </w:pPr>
      <w:r>
        <w:t xml:space="preserve">Part C — System Usability Scale (SUS)</w:t>
      </w:r>
    </w:p>
    <w:p>
      <w:pPr>
        <w:spacing w:after="120"/>
      </w:pPr>
      <w:r>
        <w:t xml:space="preserve">Instruction to respondent: “Please mark one box for each statement, based on the system you just used. There are no right or wrong answers — record your immediate reaction. If you cannot decide, mark the middle box.”</w:t>
      </w:r>
    </w:p>
    <w:p>
      <w:pPr>
        <w:spacing w:after="120"/>
      </w:pPr>
      <w:r>
        <w:rPr>
          <w:b/>
          <w:bCs/>
        </w:rPr>
        <w:t xml:space="preserve">1 = Strongly disagree    ·    5 = Strongly agree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 I think that I would like to use this system frequently.</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2. I found the system unnecessarily complex.</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3. I thought the system was easy to use.</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4. I think that I would need the support of a technical person to be able to use this system.</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5. I found the various functions in this system were well integrated.</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6. I thought there was too much inconsistency in this system.</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7. I would imagine that most people would learn to use this system very quickly.</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8. I found the system very cumbersome to use.</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9. I felt very confident using the system.</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10. I needed to learn a lot of things before I could get going with this system.</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bl>
    <w:p>
      <w:pPr>
        <w:spacing w:after="120"/>
      </w:pPr>
      <w:r>
        <w:t xml:space="preserve"/>
      </w:r>
    </w:p>
    <w:p>
      <w:pPr>
        <w:spacing w:after="120"/>
      </w:pPr>
      <w:r>
        <w:rPr>
          <w:b/>
          <w:bCs/>
        </w:rPr>
        <w:t xml:space="preserve">Filipino version (same 10 items, same order — administer one version only)</w:t>
      </w:r>
    </w:p>
    <w:p>
      <w:pPr>
        <w:spacing w:after="120"/>
      </w:pPr>
      <w:r>
        <w:t xml:space="preserve">1 = Lubos na hindi sumasang-ayon    ·    5 = Lubos na sumasang-ayon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 Sa palagay ko, gusto kong gamitin nang madalas ang sistemang ito.</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2. Masyadong kumplikado ang sistema.</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3. Madaling gamitin ang sistema.</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4. Sa palagay ko, kailangan ko ng tulong ng taong may kaalaman sa teknolohiya para magamit ito.</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5. Maayos na pinagsama-sama ang iba't ibang bahagi ng sistema.</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6. Masyadong magkakaiba-iba at hindi magkatugma ang mga bahagi ng sistema.</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7. Sa palagay ko, mabilis matututo ang karamihan ng tao na gamitin ang sistemang ito.</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8. Napakahirap gamitin ng sistema.</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9. Kumpiyansa ako habang ginagamit ang sistema.</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10. Marami akong kailangang matutunan bago ko magamit ang sistemang ito.</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bl>
    <w:p>
      <w:pPr>
        <w:spacing w:after="120"/>
      </w:pPr>
      <w:r>
        <w:t xml:space="preserve"/>
      </w:r>
    </w:p>
    <w:p>
      <w:pPr>
        <w:spacing w:after="120"/>
      </w:pPr>
      <w:r>
        <w:rPr>
          <w:i/>
          <w:iCs/>
        </w:rPr>
        <w:t xml:space="preserve">Translation note for the methodology chapter: this Filipino rendering is a working translation. Before fielding, have a second bilingual person back-translate it into English independently and reconcile any differences. State in your methodology that the instrument was translated and back-translated — a panel will ask.</w:t>
      </w:r>
    </w:p>
    <w:p>
      <w:r>
        <w:br w:type="page"/>
      </w:r>
    </w:p>
    <w:p>
      <w:pPr>
        <w:pStyle w:val="Heading1"/>
      </w:pPr>
      <w:r>
        <w:t xml:space="preserve">Part D — ISO/IEC 25010:2011 (citizen and staff version)</w:t>
      </w:r>
    </w:p>
    <w:p>
      <w:pPr>
        <w:spacing w:after="120"/>
      </w:pPr>
      <w:r>
        <w:t xml:space="preserve">Covers the quality characteristics an end user can legitimately judge. Technical evaluators use Part E instead.</w:t>
      </w:r>
    </w:p>
    <w:p>
      <w:pPr>
        <w:spacing w:after="120"/>
      </w:pPr>
      <w:r>
        <w:rPr>
          <w:b/>
          <w:bCs/>
        </w:rPr>
        <w:t xml:space="preserve">1 = Strongly disagree    ·    5 = Strongly agree</w:t>
      </w:r>
    </w:p>
    <w:p>
      <w:pPr>
        <w:pStyle w:val="Heading2"/>
      </w:pPr>
      <w:r>
        <w:t xml:space="preserve">Functional Suitability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 The system gave me the information I was actually looking for.</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2. The answer included the requirements I need to prepare.</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3. The system identified the correct office for my concern.</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4. The directions led me toward the right place in the building.</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bl>
    <w:p>
      <w:pPr>
        <w:pStyle w:val="Heading2"/>
      </w:pPr>
      <w:r>
        <w:t xml:space="preserve">Performance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5. The system answered my question within an acceptable time.</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6. The map and directions appeared without noticeable delay.</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7. I was able to finish my task without unnecessary steps.</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bl>
    <w:p>
      <w:pPr>
        <w:pStyle w:val="Heading2"/>
      </w:pPr>
      <w:r>
        <w:t xml:space="preserve">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8. The system worked properly on my own phone.</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9. The text and buttons were readable and usable on my screen.</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bl>
    <w:p>
      <w:pPr>
        <w:pStyle w:val="Heading2"/>
      </w:pPr>
      <w:r>
        <w:t xml:space="preserve">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10. The system worked consistently throughout my session.</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11. I did not encounter errors or interruptions while using it.</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12. When I repeated a question, the system behaved in the same way.</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bl>
    <w:p>
      <w:pPr>
        <w:pStyle w:val="Heading2"/>
      </w:pPr>
      <w:r>
        <w:t xml:space="preserve">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13. I was never asked for sensitive personal information.</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14. I felt my use of the system was private and appropriate.</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bl>
    <w:p>
      <w:pPr>
        <w:spacing w:after="120"/>
      </w:pPr>
      <w:r>
        <w:t xml:space="preserve"/>
      </w:r>
    </w:p>
    <w:p>
      <w:pPr>
        <w:spacing w:after="120"/>
      </w:pPr>
      <w:r>
        <w:t>Usability sub-characteristics. The four groups below complete ISO/IEC 25010's usability characteristic. Learnability, operability and satisfaction are already measured by the SUS in Part C and are deliberately not repeated here. The items are adapted from the ISO 25010 instrument validated by Mamani-Pari et al. (2026); Part G records item-by-item provenance.</w:t>
      </w:r>
    </w:p>
    <w:p>
      <w:pPr>
        <w:pStyle w:val="Heading2"/>
      </w:pPr>
      <w:r>
        <w:t>Appropriateness Recognizability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15. I could tell from the beginning that this system was meant for the kind of concern I had.</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16. The system showed me which step I was on and let me finish the task.</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17. The system let me complete the specific process I came for.</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r>
    </w:tbl>
    <w:p>
      <w:pPr>
        <w:pStyle w:val="Heading2"/>
      </w:pPr>
      <w:r>
        <w:t>User Error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18. When something was wrong with what I entered, the system told me clearly.</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19. There were helpful messages on the screen that kept me from making mistakes.</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20. The options on screen were limited to sensible ones, so I could not choose something invalid.</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r>
    </w:tbl>
    <w:p>
      <w:pPr>
        <w:pStyle w:val="Heading2"/>
      </w:pPr>
      <w:r>
        <w:t>User Interface Aesthetics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21. The colours, icons and lettering were pleasant to look at.</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22. The screens were simple and well organised, without unnecessary clutter.</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23. The design of the screens made me feel calm and confident while using it.</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r>
    </w:tbl>
    <w:p>
      <w:pPr>
        <w:pStyle w:val="Heading2"/>
      </w:pPr>
      <w:r>
        <w:t>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24. The system fitted my phone's screen properly.</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25. Someone with poor eyesight or limited hand movement could still use this system.</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26. The text size and contrast were adequate for me to read without straining.</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r>
    </w:tbl>
    <w:p>
      <w:pPr>
        <w:spacing w:after="120"/>
      </w:pPr>
      <w:r>
        <w:rPr>
          <w:b/>
          <w:bCs/>
        </w:rPr>
        <w:t xml:space="preserve">Open comments (optional):</w:t>
      </w:r>
    </w:p>
    <w:p>
      <w:pPr>
        <w:spacing w:after="120"/>
      </w:pPr>
      <w:r>
        <w:t xml:space="preserve">What was the most difficult part of using the system? ________________________________________</w:t>
      </w:r>
    </w:p>
    <w:p>
      <w:pPr>
        <w:spacing w:after="120"/>
      </w:pPr>
      <w:r>
        <w:t xml:space="preserve">What would you change? ________________________________________________________________</w:t>
      </w:r>
    </w:p>
    <w:p>
      <w:r>
        <w:br w:type="page"/>
      </w:r>
    </w:p>
    <w:p>
      <w:pPr>
        <w:pStyle w:val="Heading1"/>
      </w:pPr>
      <w:r>
        <w:t xml:space="preserve">Part E — ISO/IEC 25010:2011 (technical evaluator version)</w:t>
      </w:r>
    </w:p>
    <w:p>
      <w:pPr>
        <w:spacing w:after="120"/>
      </w:pPr>
      <w:r>
        <w:t xml:space="preserve">For IT experts and system administrators. Evaluators should be given access to the administrative view, the floor-plan editor, the analytics dashboard, and the source repository before rating.</w:t>
      </w:r>
    </w:p>
    <w:p>
      <w:pPr>
        <w:spacing w:after="120"/>
      </w:pPr>
      <w:r>
        <w:rPr>
          <w:b/>
          <w:bCs/>
        </w:rPr>
        <w:t xml:space="preserve">1 = Strongly disagree    ·    5 = Strongly agree</w:t>
      </w:r>
    </w:p>
    <w:p>
      <w:pPr>
        <w:pStyle w:val="Heading2"/>
      </w:pPr>
      <w:r>
        <w:t xml:space="preserve">Functional Suitability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 The system performs all the functions described in its specification.</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2. Retrieved answers are grounded in the official Citizen's Charter source documents.</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3. The office resolved for a query corresponds to the responsible office.</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4. The analytics dashboard reports the inquiry measures it claims to report.</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bl>
    <w:p>
      <w:pPr>
        <w:pStyle w:val="Heading2"/>
      </w:pPr>
      <w:r>
        <w:t xml:space="preserve">Performance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5. Response time for a typical query is acceptable for public use.</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6. Resource consumption is appropriate for the deployment model.</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7. The system remains responsive as the number of indexed services grows.</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bl>
    <w:p>
      <w:pPr>
        <w:pStyle w:val="Heading2"/>
      </w:pPr>
      <w:r>
        <w:t xml:space="preserve">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8. The system operates correctly across common mobile and desktop browsers.</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9. It coexists with existing city web properties without interference.</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10. Its data formats permit exchange with other municipal systems.</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bl>
    <w:p>
      <w:pPr>
        <w:pStyle w:val="Heading2"/>
      </w:pPr>
      <w:r>
        <w:t xml:space="preserve">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11. The system handles service interruptions without data loss.</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12. Failures of external services are reported gracefully to the user.</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13. The system recovers to normal operation after an interruption.</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bl>
    <w:p>
      <w:pPr>
        <w:pStyle w:val="Heading2"/>
      </w:pPr>
      <w:r>
        <w:t xml:space="preserve">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14. Administrative functions are protected by appropriate access control.</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15. No sensitive citizen information is collected or retained.</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16. Stored interaction logs are anonymous and cannot identify individuals.</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17. Credentials and configuration secrets are kept outside the source code.</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bl>
    <w:p>
      <w:pPr>
        <w:pStyle w:val="Heading2"/>
      </w:pPr>
      <w:r>
        <w:t xml:space="preserve">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18. Service content can be updated without modifying program code.</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19. Office locations and floor plans can be revised by trained staff.</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20. The code is organised so that a defect can be located and corrected.</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21. Changes can be deployed without taking the system out of service.</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bl>
    <w:p>
      <w:pPr>
        <w:pStyle w:val="Heading2"/>
      </w:pPr>
      <w:r>
        <w:t xml:space="preserve">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 xml:space="preserve">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 xml:space="preserve">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22. The system can be deployed for another local government unit by replacing the service corpus and floor plans.</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23. Installation and configuration are documented sufficiently to be repeated.</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 xml:space="preserve">24. The system does not depend on hardware specific to one site.</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t xml:space="preserve"/>
            </w:r>
          </w:p>
        </w:tc>
      </w:tr>
    </w:tbl>
    <w:p>
      <w:pPr>
        <w:spacing w:after="120"/>
      </w:pPr>
      <w:r>
        <w:t xml:space="preserve"/>
      </w:r>
    </w:p>
    <w:p>
      <w:pPr>
        <w:pStyle w:val="Heading2"/>
      </w:pPr>
      <w:r>
        <w:t>Usability (technical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720"/>
        <w:gridCol w:w="720"/>
        <w:gridCol w:w="720"/>
        <w:gridCol w:w="720"/>
        <w:gridCol w:w="720"/>
      </w:tblGrid>
      <w:tr>
        <w:tc>
          <w:tcPr>
            <w:tcW w:type="dxa" w:w="5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Statement</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1</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2</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3</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4</w:t>
            </w:r>
          </w:p>
        </w:tc>
        <w:tc>
          <w:tcPr>
            <w:tcW w:type="dxa" w:w="72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center"/>
            </w:pPr>
            <w:r>
              <w:rPr>
                <w:b/>
                <w:bCs/>
                <w:sz w:val="19"/>
                <w:szCs w:val="19"/>
              </w:rPr>
              <w:t>5</w:t>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25. Interface content renders and operates correctly with assistive technology such as NVDA or VoiceOver screen readers.</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26. The responsive design adapts the interface correctly to any device and screen size.</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r>
      <w:tr>
        <w:tc>
          <w:tcPr>
            <w:tcW w:type="dxa" w:w="5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27. Input validation, error messages and confirmation prompts are present before critical actions.</w:t>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c>
          <w:tcPr>
            <w:tcW w:type="dxa" w:w="72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center"/>
            </w:pPr>
            <w:r>
              <w:rPr>
                <w:b w:val="false"/>
                <w:bCs w:val="false"/>
                <w:sz w:val="20"/>
                <w:szCs w:val="20"/>
              </w:rPr>
            </w:r>
          </w:p>
        </w:tc>
      </w:tr>
    </w:tbl>
    <w:p>
      <w:pPr>
        <w:spacing w:after="120"/>
      </w:pPr>
      <w:r>
        <w:rPr>
          <w:b/>
          <w:bCs/>
        </w:rPr>
        <w:t xml:space="preserve">Evaluator credentials (for reporting respondent qualifications):</w:t>
      </w:r>
    </w:p>
    <w:p>
      <w:pPr>
        <w:spacing w:after="120"/>
      </w:pPr>
      <w:r>
        <w:t xml:space="preserve">Position: ____________________  Years of IT experience: ______  Highest related qualification: ______________</w:t>
      </w:r>
    </w:p>
    <w:p>
      <w:r>
        <w:br w:type="page"/>
      </w:r>
    </w:p>
    <w:p>
      <w:pPr>
        <w:pStyle w:val="Heading1"/>
      </w:pPr>
      <w:r>
        <w:t xml:space="preserve">Part F — Scoring and interpretation</w:t>
      </w:r>
    </w:p>
    <w:p>
      <w:pPr>
        <w:pStyle w:val="Heading2"/>
      </w:pPr>
      <w:r>
        <w:t xml:space="preserve">SUS scoring</w:t>
      </w:r>
    </w:p>
    <w:p>
      <w:pPr>
        <w:spacing w:after="120"/>
      </w:pPr>
      <w:r>
        <w:t xml:space="preserve">SUS is not a percentage and not an average of the item scores. Compute it as follows:</w:t>
      </w:r>
    </w:p>
    <w:p>
      <w:pPr>
        <w:pStyle w:val="ListParagraph"/>
        <w:numPr>
          <w:ilvl w:val="0"/>
          <w:numId w:val="2"/>
        </w:numPr>
      </w:pPr>
      <w:r>
        <w:t xml:space="preserve">For odd-numbered items (1, 3, 5, 7, 9): contribution = response − 1</w:t>
      </w:r>
    </w:p>
    <w:p>
      <w:pPr>
        <w:pStyle w:val="ListParagraph"/>
        <w:numPr>
          <w:ilvl w:val="0"/>
          <w:numId w:val="2"/>
        </w:numPr>
      </w:pPr>
      <w:r>
        <w:t xml:space="preserve">For even-numbered items (2, 4, 6, 8, 10): contribution = 5 − response</w:t>
      </w:r>
    </w:p>
    <w:p>
      <w:pPr>
        <w:pStyle w:val="ListParagraph"/>
        <w:numPr>
          <w:ilvl w:val="0"/>
          <w:numId w:val="2"/>
        </w:numPr>
      </w:pPr>
      <w:r>
        <w:t xml:space="preserve">Sum the ten contributions (range 0–40), then multiply by 2.5 to obtain a score from 0 to 100.</w:t>
      </w:r>
    </w:p>
    <w:p>
      <w:pPr>
        <w:spacing w:after="120"/>
      </w:pPr>
      <w:r>
        <w:rPr>
          <w:i/>
          <w:iCs/>
        </w:rPr>
        <w:t xml:space="preserve">Worked example: responses 4,2,4,2,4,2,5,1,4,2 → odd contributions 3,3,3,4,3 = 16; even contributions 3,3,3,4,3 = 16; total 32 × 2.5 = 80.0.</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SUS score</w:t>
            </w:r>
          </w:p>
        </w:tc>
        <w:tc>
          <w:tcPr>
            <w:tcW w:type="dxa" w:w="6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Interpretation (Bangor, Kortum &amp; Miller)</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Above 85</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Highly usable</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70 - 85</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Good to excellent</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50 - 70</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Acceptable, but with usability problems that need improvement</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Below 50</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Not acceptable</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Reference values</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Mean 70.14, median 75, across more than 2,300 surveys from over 200 studies; Cronbach's alpha = 0.91. No product scored below 30, and fewer than 6% of study scores fell below 50.</w:t>
            </w:r>
          </w:p>
        </w:tc>
      </w:tr>
    </w:tbl>
    <w:p>
      <w:pPr>
        <w:spacing w:after="120"/>
      </w:pPr>
      <w:r>
        <w:rPr>
          <w:i/>
          <w:iCs/>
        </w:rPr>
        <w:t>Report the mean SUS across respondents with its standard deviation, and cite Brooke (1996) for the instrument, Bangor, Kortum and Miller (2008, 2009) for the bands above, and Lewis (2018) for the contemporary review. Note on an alternative convention: the figures often quoted as a 68.0 average and an 80.3 grade-A threshold come from Sauro's separate industry dataset, not from Bangor et al. If those cut-offs are used instead, cite Sauro and Lewis, Quantifying the User Experience, and verify the numbers in that text. The two sets are not interchangeable, because they derive from different samples.</w:t>
      </w:r>
    </w:p>
    <w:p>
      <w:pPr>
        <w:pStyle w:val="Heading2"/>
      </w:pPr>
      <w:r>
        <w:t xml:space="preserve">ISO/IEC 25010 scoring</w:t>
      </w:r>
    </w:p>
    <w:p>
      <w:pPr>
        <w:spacing w:after="120"/>
      </w:pPr>
      <w:r>
        <w:t xml:space="preserve">Compute the mean of the items within each characteristic, then the grand mean across characteristics. Report each characteristic separately — a single overall figure hides exactly the variation a panel will ask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Mean range</w:t>
            </w:r>
          </w:p>
        </w:tc>
        <w:tc>
          <w:tcPr>
            <w:tcW w:type="dxa" w:w="6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Verbal interpretation</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4.20 - 5.00</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Excellent</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3.40 - 4.19</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Very good</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2.60 - 3.39</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Good</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1.80 - 2.59</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Fair</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1.00 - 1.79</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Poor</w:t>
            </w:r>
          </w:p>
        </w:tc>
      </w:tr>
    </w:tbl>
    <w:p>
      <w:pPr>
        <w:spacing w:after="120"/>
      </w:pPr>
      <w:r>
        <w:t>These boundaries follow Grepon et al. (2021), who applied ISO/IEC 25010:2011 to a Philippine institutional information system using exactly this five-band scale. Adopting their boundaries instead of a self-defined set means the interpretation itself can be cited. For the usability sub-characteristics in Part D, Mamani-Pari et al. (2026) additionally publish summed bands for three-item dimensions: 3-5 very low, 6-8 low, 9-11 moderate, 12-13 high, 14-15 very high.</w:t>
      </w:r>
    </w:p>
    <w:p>
      <w:pPr>
        <w:pStyle w:val="Heading2"/>
      </w:pPr>
      <w:r>
        <w:t xml:space="preserve">Reliability</w:t>
      </w:r>
    </w:p>
    <w:p>
      <w:pPr>
        <w:spacing w:after="120"/>
      </w:pPr>
      <w:r>
        <w:t xml:space="preserve">Report Cronbach's alpha for each ISO characteristic and for the SUS as a whole. The conventional threshold for acceptability is α ≥ 0.70. Characteristics with only two or three items frequently fall below this; where that occurs, report the figure honestly and note the small item count as a limitation rather than omitting it.</w:t>
      </w:r>
    </w:p>
    <w:p>
      <w:pPr>
        <w:pStyle w:val="Heading2"/>
      </w:pPr>
      <w:r>
        <w:t xml:space="preserve">What to report for SOP 4</w:t>
      </w:r>
    </w:p>
    <w:p>
      <w:pPr>
        <w:pStyle w:val="ListParagraph"/>
        <w:numPr>
          <w:ilvl w:val="0"/>
          <w:numId w:val="3"/>
        </w:numPr>
      </w:pPr>
      <w:r>
        <w:t xml:space="preserve">4.1 ISO/IEC 25010:2011 — mean and interpretation per characteristic, plus Cronbach's alpha, separated by respondent group.</w:t>
      </w:r>
    </w:p>
    <w:p>
      <w:pPr>
        <w:pStyle w:val="ListParagraph"/>
        <w:numPr>
          <w:ilvl w:val="0"/>
          <w:numId w:val="3"/>
        </w:numPr>
      </w:pPr>
      <w:r>
        <w:t xml:space="preserve">4.2.1 Conversational AI performance — mean response latency from the system log, with the Functional Suitability items.</w:t>
      </w:r>
    </w:p>
    <w:p>
      <w:pPr>
        <w:pStyle w:val="ListParagraph"/>
        <w:numPr>
          <w:ilvl w:val="0"/>
          <w:numId w:val="3"/>
        </w:numPr>
      </w:pPr>
      <w:r>
        <w:t xml:space="preserve">4.2.2 Navigation performance — task completion rate, completion time, and assisted-completion rate from Part B.</w:t>
      </w:r>
    </w:p>
    <w:p>
      <w:pPr>
        <w:pStyle w:val="ListParagraph"/>
        <w:numPr>
          <w:ilvl w:val="0"/>
          <w:numId w:val="3"/>
        </w:numPr>
      </w:pPr>
      <w:r>
        <w:t xml:space="preserve">4.2.3 SUS — mean, standard deviation, and interpretation band.</w:t>
      </w:r>
    </w:p>
    <w:p>
      <w:pPr>
        <w:pStyle w:val="ListParagraph"/>
        <w:numPr>
          <w:ilvl w:val="0"/>
          <w:numId w:val="3"/>
        </w:numPr>
      </w:pPr>
      <w:r>
        <w:t xml:space="preserve">4.2.4 Administrative analytics — dashboard measures over the evaluation period.</w:t>
      </w:r>
    </w:p>
    <w:p>
      <w:pPr>
        <w:pStyle w:val="ListParagraph"/>
        <w:numPr>
          <w:ilvl w:val="0"/>
          <w:numId w:val="3"/>
        </w:numPr>
      </w:pPr>
      <w:r>
        <w:t xml:space="preserve">4.2.5 Retrieval benchmarking — Precision@K, Recall@K, MRR and NDCG from the automated evaluation suite, plus groundedness and faithfulness.</w:t>
      </w:r>
    </w:p>
    <w:p>
      <w:pPr>
        <w:pStyle w:val="Heading1"/>
      </w:pPr>
      <w:r>
        <w:t>Part G — Instrument provenance and adaptation statement</w:t>
      </w:r>
    </w:p>
    <w:p>
      <w:pPr>
        <w:spacing w:after="120"/>
      </w:pPr>
      <w:r>
        <w:t>ISO/IEC 25010:2011 defines quality characteristics; it does not publish questionnaire items. Every ISO 25010 instrument is therefore constructed, and the defensible practice is to adapt items from published, psychometrically validated sets and to declare what was adapted and what was written for this study. The table below records that for each item in this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Items</w:t>
            </w:r>
          </w:p>
        </w:tc>
        <w:tc>
          <w:tcPr>
            <w:tcW w:type="dxa" w:w="6760"/>
            <w:tcBorders>
              <w:top w:val="single" w:color="BFBFBF" w:sz="1"/>
              <w:left w:val="single" w:color="BFBFBF" w:sz="1"/>
              <w:bottom w:val="single" w:color="BFBFBF" w:sz="1"/>
              <w:right w:val="single" w:color="BFBFBF" w:sz="1"/>
            </w:tcBorders>
            <w:shd w:fill="D5E8F0" w:val="clear"/>
            <w:tcMar>
              <w:top w:type="dxa" w:w="70"/>
              <w:left w:type="dxa" w:w="100"/>
              <w:bottom w:type="dxa" w:w="70"/>
              <w:right w:type="dxa" w:w="100"/>
            </w:tcMar>
          </w:tcPr>
          <w:p>
            <w:pPr>
              <w:jc w:val="left"/>
            </w:pPr>
            <w:r>
              <w:rPr>
                <w:b/>
                <w:bCs/>
                <w:sz w:val="19"/>
                <w:szCs w:val="19"/>
              </w:rPr>
              <w:t>Provenance</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Part C 1-10 (SUS, English)</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Brooke (1996), verbatim standard wording, cross-checked against Lewis (2018). Scoring per Brooke (1996).</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Part C 1-10 (SUS, Filipino)</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Working forward translation by the researcher. Not yet back-translated or validated; see the translation note in Part C. Sevilla-Gonzalez et al. (2020), who developed and validated a Spanish SUS, document the procedure this translation should follow before it is treated as equivalent to the English form.</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Part D 1-4, Functional Suitability</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Written for this study from the ISO/IEC 25010:2011 sub-characteristic definitions (functional completeness, functional correctness, functional appropriateness), following the item-construction convention used by Mamani-Pari et al. (2026).</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Part D 5-7, Performance Efficiency</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Written for this study from ISO/IEC 25010:2011 definitions. Item 5 (acceptable response time) corresponds to Mamani-Pari et al. (2026) item 10.</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Part D 8-9 Compatibility; 10-12 Reliability; 13-14 Security</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Written for this study from ISO/IEC 25010:2011 definitions. These characteristics belong to the product-quality model and have no counterpart in the published usability item sets.</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Part D 15-17, Appropriateness Recognizability</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Adapted from Mamani-Pari et al. (2026) items 1-3, reworded from clinical-staff to citizen-respondent register.</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Part D 18-20, User Error Protection</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Adapted from Mamani-Pari et al. (2026) items 11-14, condensed from four items to three.</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Part D 21-23, User Interface Aesthetics</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Adapted from Mamani-Pari et al. (2026) items 15-17.</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Part D 24-26, Accessibility</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Items 24-25 adapted from Mamani-Pari et al. (2026) items 18-19. Item 26 written for this study from the ISO/IEC 25010:2011 accessibility definition.</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Part E 1-24</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Written for this study from ISO/IEC 25010:2011 definitions, targeting artefacts an expert evaluator can inspect. Several correspond to criteria in the enhanced SUS of Thamilarasan et al. (2023): Part E item 5 to their UQ18 (response latency), item 10 to their UQ19 (efficiency in the user's task), and items 8-9 to their usability-compliance criterion.</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Part E 25-27, Usability (technical review)</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Item 25 adapted from Mamani-Pari et al. (2026) item 20 (screen-reader operation); item 26 from their item 18 (responsive design); item 27 from their item 11 (input validation and confirmation before critical actions).</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Part B, task script and observation sheet</w:t>
            </w:r>
          </w:p>
        </w:tc>
        <w:tc>
          <w:tcPr>
            <w:tcW w:type="dxa" w:w="6760"/>
            <w:tcBorders>
              <w:top w:val="single" w:color="BFBFBF" w:sz="1"/>
              <w:left w:val="single" w:color="BFBFBF" w:sz="1"/>
              <w:bottom w:val="single" w:color="BFBFBF" w:sz="1"/>
              <w:right w:val="single" w:color="BFBFBF" w:sz="1"/>
            </w:tcBorders>
            <w:shd w:fill="FFFFFF" w:val="clear"/>
            <w:tcMar>
              <w:top w:type="dxa" w:w="70"/>
              <w:left w:type="dxa" w:w="100"/>
              <w:bottom w:type="dxa" w:w="70"/>
              <w:right w:type="dxa" w:w="100"/>
            </w:tcMar>
          </w:tcPr>
          <w:p>
            <w:pPr>
              <w:jc w:val="left"/>
            </w:pPr>
            <w:r>
              <w:rPr>
                <w:b w:val="false"/>
                <w:bCs w:val="false"/>
                <w:sz w:val="20"/>
                <w:szCs w:val="20"/>
              </w:rPr>
              <w:t>Written for this study. Task-based measurement of completion rate, time on task and assisted completions is standard usability-test practice and supplies the SOP 4.2.2 measures. It is not a questionnaire and carries no psychometric claim.</w:t>
            </w:r>
          </w:p>
        </w:tc>
      </w:tr>
    </w:tbl>
    <w:p>
      <w:pPr>
        <w:pStyle w:val="Heading2"/>
      </w:pPr>
      <w:r>
        <w:t>Limitations that must be declared</w:t>
      </w:r>
    </w:p>
    <w:p>
      <w:pPr>
        <w:spacing w:after="120"/>
      </w:pPr>
      <w:r>
        <w:t>No part of this package has been psychometrically validated in this study's own context. Mamani-Pari et al. (2026) validated their Spanish items with health-care staff evaluating an electronic health record. The adaptation here changes the language, the system type and the population, so their reported coefficients do not transfer to these items.</w:t>
      </w:r>
    </w:p>
    <w:p>
      <w:pPr>
        <w:spacing w:after="120"/>
      </w:pPr>
      <w:r>
        <w:t>The validated source items are in Spanish. The English items in Parts D and E are the researcher's renderings of the published Spanish wording, not an authorised translation.</w:t>
      </w:r>
    </w:p>
    <w:p>
      <w:pPr>
        <w:spacing w:after="120"/>
      </w:pPr>
      <w:r>
        <w:t>Parts D and E mix adapted and newly written items, so the instrument as a whole is new. Cronbach's alpha must be computed and reported from this study's own data, per characteristic, and must not be inherited from the source studies.</w:t>
      </w:r>
    </w:p>
    <w:p>
      <w:pPr>
        <w:spacing w:after="120"/>
      </w:pPr>
      <w:r>
        <w:t>If the panel requires a validated instrument rather than an adapted one, the minimum defensible addition is a content-validity stage: a modified Delphi round in which expert judges rate each item for relevance, appropriateness and clarity on a 1-5 scale, analysed with Aiken's V against a 0.80 acceptance threshold. Mamani-Pari et al. (2026) document this procedure with 10 judges and two rounds, and may be cited as the methodological model.</w:t>
      </w:r>
    </w:p>
    <w:p>
      <w:pPr>
        <w:pStyle w:val="Heading2"/>
      </w:pPr>
      <w:r>
        <w:t>References for the instrument sources</w:t>
      </w:r>
    </w:p>
    <w:p>
      <w:pPr>
        <w:pStyle w:val="ListParagraph"/>
        <w:numPr>
          <w:ilvl w:val="0"/>
          <w:numId w:val="2"/>
        </w:numPr>
      </w:pPr>
      <w:r>
        <w:t>Bangor, A., Kortum, P. T., &amp; Miller, J. T. (2008). An empirical evaluation of the System Usability Scale. International Journal of Human-Computer Interaction, 24(6), 574-594. https://doi.org/10.1080/10447310802205776</w:t>
      </w:r>
    </w:p>
    <w:p>
      <w:pPr>
        <w:pStyle w:val="ListParagraph"/>
        <w:numPr>
          <w:ilvl w:val="0"/>
          <w:numId w:val="2"/>
        </w:numPr>
      </w:pPr>
      <w:r>
        <w:t>Bangor, A., Kortum, P., &amp; Miller, J. (2009). Determining what individual SUS scores mean: Adding an adjective rating scale. Journal of Usability Studies, 4(3), 114-123.</w:t>
      </w:r>
    </w:p>
    <w:p>
      <w:pPr>
        <w:pStyle w:val="ListParagraph"/>
        <w:numPr>
          <w:ilvl w:val="0"/>
          <w:numId w:val="2"/>
        </w:numPr>
      </w:pPr>
      <w:r>
        <w:t>Brooke, J. (1996). SUS: A quick and dirty usability scale. In P. W. Jordan, B. Thomas, B. A. Weerdmeester, &amp; I. L. McClelland (Eds.), Usability Evaluation in Industry (pp. 189-194). Taylor &amp; Francis.</w:t>
      </w:r>
    </w:p>
    <w:p>
      <w:pPr>
        <w:pStyle w:val="ListParagraph"/>
        <w:numPr>
          <w:ilvl w:val="0"/>
          <w:numId w:val="2"/>
        </w:numPr>
      </w:pPr>
      <w:r>
        <w:t>Grepon, B. G. S., Baran, N. T., Gumonan, K. M. V. C., Martinez, A. L. M., &amp; Lacsa, M. L. E. (2021). Designing and implementing e-school systems: An information systems approach to school management of a community college in Northern Mindanao, Philippines. International Journal of Computing Sciences Research, 5(1). https://doi.org/10.25147/ijcsr.2017.001.1.74</w:t>
      </w:r>
    </w:p>
    <w:p>
      <w:pPr>
        <w:pStyle w:val="ListParagraph"/>
        <w:numPr>
          <w:ilvl w:val="0"/>
          <w:numId w:val="2"/>
        </w:numPr>
      </w:pPr>
      <w:r>
        <w:t>International Organization for Standardization. (2011). ISO/IEC 25010:2011 - Systems and software engineering - Systems and software Quality Requirements and Evaluation (SQuaRE) - System and software quality models. ISO.</w:t>
      </w:r>
    </w:p>
    <w:p>
      <w:pPr>
        <w:pStyle w:val="ListParagraph"/>
        <w:numPr>
          <w:ilvl w:val="0"/>
          <w:numId w:val="2"/>
        </w:numPr>
      </w:pPr>
      <w:r>
        <w:t>Lewis, J. R. (2018). The System Usability Scale: Past, present, and future. International Journal of Human-Computer Interaction, 34(7), 577-590. https://doi.org/10.1080/10447318.2018.1455307</w:t>
      </w:r>
    </w:p>
    <w:p>
      <w:pPr>
        <w:pStyle w:val="ListParagraph"/>
        <w:numPr>
          <w:ilvl w:val="0"/>
          <w:numId w:val="2"/>
        </w:numPr>
      </w:pPr>
      <w:r>
        <w:t>Mamani-Pari, D., Penaloza-Hualpa, A. F., Humpiri-Flores, M. E., Gutierrez-Quispe, E., &amp; Otazu-Luque, J. E. (2026). Development and psychometric validation of a usability instrument based on ISO 25010 for electronic health record systems in Peruvian health care settings: Methodological study. JMIR Human Factors, 13, e81377. https://doi.org/10.2196/81377</w:t>
      </w:r>
    </w:p>
    <w:p>
      <w:pPr>
        <w:pStyle w:val="ListParagraph"/>
        <w:numPr>
          <w:ilvl w:val="0"/>
          <w:numId w:val="2"/>
        </w:numPr>
      </w:pPr>
      <w:r>
        <w:t>Orfanou, K., Tselios, N., &amp; Katsanos, C. (2015). Perceived usability evaluation of learning management systems: Empirical evaluation of the System Usability Scale. International Review of Research in Open and Distributed Learning, 16(2), 227-246. https://doi.org/10.19173/irrodl.v16i2.1955</w:t>
      </w:r>
    </w:p>
    <w:p>
      <w:pPr>
        <w:pStyle w:val="ListParagraph"/>
        <w:numPr>
          <w:ilvl w:val="0"/>
          <w:numId w:val="2"/>
        </w:numPr>
      </w:pPr>
      <w:r>
        <w:t>Sevilla-Gonzalez, M. D. R., Moreno Loaeza, L., Lazaro-Carrera, L. S., Bourlon, M. T., Vazquez Cardenas, P., Hernandez-Jimenez, S., Garcia-Ulloa, A. C., &amp; Almeda-Valdes, P. (2020). Spanish version of the System Usability Scale for the assessment of electronic tools: Development and validation. JMIR Human Factors, 7(4), e21161. https://doi.org/10.2196/21161</w:t>
      </w:r>
    </w:p>
    <w:p>
      <w:pPr>
        <w:pStyle w:val="ListParagraph"/>
        <w:numPr>
          <w:ilvl w:val="0"/>
          <w:numId w:val="2"/>
        </w:numPr>
      </w:pPr>
      <w:r>
        <w:t>Thamilarasan, Y., Raja Ikram, R. R., Osman, M., Salahuddin, L., Wan Bujeri, W. Y., &amp; Kanchymalay, K. (2023). Enhanced System Usability Scale using the software quality standard approach. Engineering, Technology &amp; Applied Science Research, 13(5), 11779-11784. https://doi.org/10.48084/etasr.5971</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Evaluation Instrument Package  —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Arial" w:cs="Arial" w:eastAsia="Arial" w:hAnsi="Arial"/>
      <w:b/>
      <w:bCs/>
      <w:color w:val="1E40A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3415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Instrument Package — SUS and ISO/IEC 25010</dc:title>
  <dc:creator>Jester C. Penaranda</dc:creator>
  <cp:lastModifiedBy>Un-named</cp:lastModifiedBy>
  <cp:revision>1</cp:revision>
  <dcterms:created xsi:type="dcterms:W3CDTF">2026-10-05T15:54:55.051Z</dcterms:created>
  <dcterms:modified xsi:type="dcterms:W3CDTF">2026-10-05T15:54:55.052Z</dcterms:modified>
</cp:coreProperties>
</file>

<file path=docProps/custom.xml><?xml version="1.0" encoding="utf-8"?>
<Properties xmlns="http://schemas.openxmlformats.org/officeDocument/2006/custom-properties" xmlns:vt="http://schemas.openxmlformats.org/officeDocument/2006/docPropsVTypes"/>
</file>