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40AF"/>
          <w:sz w:val="40"/>
          <w:szCs w:val="40"/>
        </w:rPr>
        <w:t xml:space="preserve">Dissertation Alignment Fixes</w:t>
      </w:r>
    </w:p>
    <w:p>
      <w:pPr>
        <w:spacing w:after="60"/>
      </w:pPr>
      <w:r>
        <w:rPr>
          <w:color w:val="64748B"/>
          <w:sz w:val="24"/>
          <w:szCs w:val="24"/>
        </w:rPr>
        <w:t xml:space="preserve">Chapters 1–2, Revised Version — paste-ready replacement text</w:t>
      </w:r>
    </w:p>
    <w:p>
      <w:pPr>
        <w:pBdr>
          <w:bottom w:val="single" w:color="1E40AF" w:sz="6" w:space="4"/>
        </w:pBdr>
        <w:spacing w:after="220"/>
      </w:pPr>
      <w:r>
        <w:rPr>
          <w:color w:val="64748B"/>
          <w:sz w:val="20"/>
          <w:szCs w:val="20"/>
        </w:rPr>
        <w:t xml:space="preserve">Jester C. Penaranda  •  5 October 2026</w:t>
      </w:r>
    </w:p>
    <w:p>
      <w:pPr>
        <w:spacing w:after="120"/>
      </w:pPr>
      <w:r>
        <w:rPr>
          <w:i/>
          <w:iCs/>
        </w:rPr>
        <w:t xml:space="preserve">Purpose: the deployed system changed after this draft was written. Each section below gives the exact page, the text to remove, and the replacement to paste. Page numbers refer to the PDF of the Revised Version (167 pages).</w:t>
      </w:r>
    </w:p>
    <w:p>
      <w:pPr>
        <w:spacing w:after="120"/>
      </w:pPr>
      <w:r>
        <w:rPr>
          <w:b/>
          <w:bCs/>
        </w:rPr>
        <w:t xml:space="preserve">Already correct — no action needed:</w:t>
      </w:r>
    </w:p>
    <w:p>
      <w:pPr>
        <w:pStyle w:val="ListParagraph"/>
        <w:numPr>
          <w:ilvl w:val="0"/>
          <w:numId w:val="2"/>
        </w:numPr>
      </w:pPr>
      <w:r>
        <w:rPr>
          <w:b/>
          <w:bCs/>
        </w:rPr>
        <w:t xml:space="preserve">Scope and Delimitation</w:t>
      </w:r>
      <w:r>
        <w:t xml:space="preserve"> was rewritten and is now architecture-neutral. Leave it as it is.</w:t>
      </w:r>
    </w:p>
    <w:p>
      <w:pPr>
        <w:pStyle w:val="ListParagraph"/>
        <w:numPr>
          <w:ilvl w:val="0"/>
          <w:numId w:val="2"/>
        </w:numPr>
      </w:pPr>
      <w:r>
        <w:rPr>
          <w:b/>
          <w:bCs/>
        </w:rPr>
        <w:t xml:space="preserve">Statement of the Problem (SOP 1–4)</w:t>
      </w:r>
      <w:r>
        <w:t xml:space="preserve">, the metric families, SUS-after-tasks, RA 10173 / RBAC, QR + PDR, and the respondent design (citizens, staff, administrators, IT experts) all still match the system.</w:t>
      </w:r>
    </w:p>
    <w:p>
      <w:r>
        <w:br w:type="page"/>
      </w:r>
    </w:p>
    <w:p>
      <w:pPr>
        <w:pStyle w:val="Heading1"/>
      </w:pPr>
      <w:r>
        <w:t xml:space="preserve">Fix 1 — pp. 80–81: the pipeline stages</w:t>
      </w:r>
    </w:p>
    <w:p>
      <w:pPr>
        <w:spacing w:after="120"/>
      </w:pPr>
      <w:r>
        <w:t xml:space="preserve">The draft describes a six-stage, fully local pipeline. Every stage now differs from the deployed system. Replace the entire “Pipeline Stages”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B91C1C" w:sz="12"/>
              <w:bottom w:val="single" w:color="E2E8F0" w:sz="1"/>
              <w:right w:val="single" w:color="E2E8F0" w:sz="1"/>
            </w:tcBorders>
            <w:shd w:fill="FAFAFA" w:val="clear"/>
            <w:tcMar>
              <w:top w:type="dxa" w:w="120"/>
              <w:left w:type="dxa" w:w="180"/>
              <w:bottom w:type="dxa" w:w="120"/>
              <w:right w:type="dxa" w:w="160"/>
            </w:tcMar>
          </w:tcPr>
          <w:p>
            <w:pPr>
              <w:spacing w:after="60"/>
            </w:pPr>
            <w:r>
              <w:rPr>
                <w:b/>
                <w:bCs/>
                <w:color w:val="B91C1C"/>
                <w:sz w:val="19"/>
                <w:szCs w:val="19"/>
              </w:rPr>
              <w:t xml:space="preserve">REMOVE — the current six stages</w:t>
            </w:r>
          </w:p>
          <w:p>
            <w:pPr>
              <w:spacing w:after="90"/>
            </w:pPr>
            <w:r>
              <w:rPr>
                <w:i/>
                <w:iCs/>
              </w:rPr>
              <w:t xml:space="preserve">Stage 1 – Query Rewriting (locally hosted compact LLM) … Stage 2 – Embedding (multilingual-e5-large) … Stage 3 – FAISS Vector Search (IndexFlatIP) … Stage 4 – Cross-Encoder Re-ranking (BAAI/bge-reranker-base) … Stage 5 – Answer Generation (locally hosted 3B-parameter LLM via Ollama) … Stage 6 – Coordinate Resolution (app.js parses the grid coordinate and calls handleCellTap(row, col)).</w:t>
            </w:r>
          </w:p>
          <w:p>
            <w:pPr>
              <w:spacing w:after="90"/>
            </w:pPr>
            <w:r>
              <w:rPr>
                <w:i/>
                <w:iCs/>
              </w:rPr>
              <w:t xml:space="preserve">Also remove: “The six-stage pipeline, illustrated in Figure 5, runs entirely on local hardware, requiring no cloud API access. Total GPU memory usage is approximately 3.7 GB, within the limits of consumer-grade hardware.”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5803D" w:sz="12"/>
              <w:bottom w:val="single" w:color="E2E8F0" w:sz="1"/>
              <w:right w:val="single" w:color="E2E8F0" w:sz="1"/>
            </w:tcBorders>
            <w:shd w:fill="FAFAFA" w:val="clear"/>
            <w:tcMar>
              <w:top w:type="dxa" w:w="120"/>
              <w:left w:type="dxa" w:w="180"/>
              <w:bottom w:type="dxa" w:w="120"/>
              <w:right w:type="dxa" w:w="160"/>
            </w:tcMar>
          </w:tcPr>
          <w:p>
            <w:pPr>
              <w:spacing w:after="60"/>
            </w:pPr>
            <w:r>
              <w:rPr>
                <w:b/>
                <w:bCs/>
                <w:color w:val="15803D"/>
                <w:sz w:val="19"/>
                <w:szCs w:val="19"/>
              </w:rPr>
              <w:t xml:space="preserve">PASTE — the four stages as deployed</w:t>
            </w:r>
          </w:p>
          <w:p>
            <w:pPr>
              <w:spacing w:after="90"/>
            </w:pPr>
            <w:r>
              <w:rPr>
                <w:i w:val="false"/>
                <w:iCs w:val="false"/>
              </w:rPr>
              <w:t xml:space="preserve">Pipeline Stages:</w:t>
            </w:r>
          </w:p>
          <w:p>
            <w:pPr>
              <w:spacing w:after="90"/>
            </w:pPr>
            <w:r>
              <w:rPr>
                <w:i w:val="false"/>
                <w:iCs w:val="false"/>
              </w:rPr>
              <w:t xml:space="preserve">Stage 1 — Query Embedding and Retrieval. The citizen’s query is transmitted to a managed vector index (Upstash Vector), which embeds the query server-side using the text-embedding-3-small model (1,536 dimensions) and returns the six most similar service records ranked by cosine similarity. The index contains 305 service records derived from the official Citizen’s Charter of the City of Calamba.</w:t>
            </w:r>
          </w:p>
          <w:p>
            <w:pPr>
              <w:spacing w:after="90"/>
            </w:pPr>
            <w:r>
              <w:rPr>
                <w:i w:val="false"/>
                <w:iCs w:val="false"/>
              </w:rPr>
              <w:t xml:space="preserve">Stage 2 — Context Assembly. The retrieved records are assembled into a grounded prompt. Each record contributes its service category, sub-service name, responsible department, eligibility criteria, the itemised checklist of requirements together with where each requirement is secured, and the prescribed client steps.</w:t>
            </w:r>
          </w:p>
          <w:p>
            <w:pPr>
              <w:spacing w:after="90"/>
            </w:pPr>
            <w:r>
              <w:rPr>
                <w:i w:val="false"/>
                <w:iCs w:val="false"/>
              </w:rPr>
              <w:t xml:space="preserve">Stage 3 — Grounded Answer Generation. The assembled context and the citizen’s question are submitted to a hosted large language model (Groq, openai/gpt-oss-120b) at a temperature of 0.3 with a 1,600-token generation limit. The system prompt constrains the model to answer solely from the supplied context and to conclude with a routing line naming the responsible office.</w:t>
            </w:r>
          </w:p>
          <w:p>
            <w:pPr>
              <w:spacing w:after="90"/>
            </w:pPr>
            <w:r>
              <w:rPr>
                <w:i w:val="false"/>
                <w:iCs w:val="false"/>
              </w:rPr>
              <w:t xml:space="preserve">Stage 4 — Office Resolution and Routing. The responsible office is parsed from the routing line; where the model omits that line, the system falls back to the highest-ranked retrieval result. The resolved office is then mapped to a placed floor-plan location, which selects the nearest mapped service window to the citizen’s current position and returns a floor and grid coordinate for the wayfinding module.</w:t>
            </w:r>
          </w:p>
          <w:p>
            <w:pPr>
              <w:spacing w:after="90"/>
            </w:pPr>
            <w:r>
              <w:rPr>
                <w:i w:val="false"/>
                <w:iCs w:val="false"/>
              </w:rPr>
              <w:t xml:space="preserve">Each interaction is written to an operational log that supplies the Administrative Analytics module, recording the timestamp, query text, resolved office, response latency, and detected language.</w:t>
            </w:r>
          </w:p>
          <w:p>
            <w:pPr>
              <w:spacing w:after="90"/>
            </w:pPr>
            <w:r>
              <w:rPr>
                <w:i w:val="false"/>
                <w:iCs w:val="false"/>
              </w:rPr>
              <w:t xml:space="preserve">The pipeline executes as stateless serverless functions. The City Government operates no server, graphics processing unit, or on-premises inference infrastructure; citizens access the system through their own smartphones without installing an application.</w:t>
            </w:r>
          </w:p>
        </w:tc>
      </w:tr>
    </w:tbl>
    <w:p>
      <w:pPr>
        <w:pStyle w:val="Heading1"/>
      </w:pPr>
      <w:r>
        <w:t xml:space="preserve">Fix 2 — p. 80: Figure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B91C1C" w:sz="12"/>
              <w:bottom w:val="single" w:color="E2E8F0" w:sz="1"/>
              <w:right w:val="single" w:color="E2E8F0" w:sz="1"/>
            </w:tcBorders>
            <w:shd w:fill="FAFAFA" w:val="clear"/>
            <w:tcMar>
              <w:top w:type="dxa" w:w="120"/>
              <w:left w:type="dxa" w:w="180"/>
              <w:bottom w:type="dxa" w:w="120"/>
              <w:right w:type="dxa" w:w="160"/>
            </w:tcMar>
          </w:tcPr>
          <w:p>
            <w:pPr>
              <w:spacing w:after="60"/>
            </w:pPr>
            <w:r>
              <w:rPr>
                <w:b/>
                <w:bCs/>
                <w:color w:val="B91C1C"/>
                <w:sz w:val="19"/>
                <w:szCs w:val="19"/>
              </w:rPr>
              <w:t xml:space="preserve">REMOVE — current caption</w:t>
            </w:r>
          </w:p>
          <w:p>
            <w:pPr>
              <w:spacing w:after="90"/>
            </w:pPr>
            <w:r>
              <w:rPr>
                <w:i/>
                <w:iCs/>
              </w:rPr>
              <w:t xml:space="preserve">Figure 5. Fully local RAG pipeline for the Conversational AI Module — “All inference runs on consumer-grade hardware.”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5803D" w:sz="12"/>
              <w:bottom w:val="single" w:color="E2E8F0" w:sz="1"/>
              <w:right w:val="single" w:color="E2E8F0" w:sz="1"/>
            </w:tcBorders>
            <w:shd w:fill="FAFAFA" w:val="clear"/>
            <w:tcMar>
              <w:top w:type="dxa" w:w="120"/>
              <w:left w:type="dxa" w:w="180"/>
              <w:bottom w:type="dxa" w:w="120"/>
              <w:right w:type="dxa" w:w="160"/>
            </w:tcMar>
          </w:tcPr>
          <w:p>
            <w:pPr>
              <w:spacing w:after="60"/>
            </w:pPr>
            <w:r>
              <w:rPr>
                <w:b/>
                <w:bCs/>
                <w:color w:val="15803D"/>
                <w:sz w:val="19"/>
                <w:szCs w:val="19"/>
              </w:rPr>
              <w:t xml:space="preserve">PASTE — new caption</w:t>
            </w:r>
          </w:p>
          <w:p>
            <w:pPr>
              <w:spacing w:after="90"/>
            </w:pPr>
            <w:r>
              <w:rPr>
                <w:i w:val="false"/>
                <w:iCs w:val="false"/>
              </w:rPr>
              <w:t xml:space="preserve">Figure 5. Serverless Retrieval-Augmented Generation pipeline for the Conversational AI Module. Retrieval and generation are performed by managed cloud services; no on-premises inference hardware is required.</w:t>
            </w:r>
          </w:p>
        </w:tc>
      </w:tr>
    </w:tbl>
    <w:p>
      <w:pPr>
        <w:spacing w:after="120"/>
      </w:pPr>
      <w:r>
        <w:rPr>
          <w:b/>
          <w:bCs/>
        </w:rPr>
        <w:t xml:space="preserve">The figure itself needs redrawing. The boxes should read, left to right:</w:t>
      </w:r>
    </w:p>
    <w:p>
      <w:pPr>
        <w:pStyle w:val="ListParagraph"/>
        <w:numPr>
          <w:ilvl w:val="0"/>
          <w:numId w:val="2"/>
        </w:numPr>
      </w:pPr>
      <w:r>
        <w:t xml:space="preserve">Citizen query (browser) → </w:t>
      </w:r>
      <w:r>
        <w:rPr>
          <w:b/>
          <w:bCs/>
        </w:rPr>
        <w:t xml:space="preserve">Upstash Vector</w:t>
      </w:r>
      <w:r>
        <w:t xml:space="preserve"> (server-side embedding, text-embedding-3-small, top-6) → Context assembly → </w:t>
      </w:r>
      <w:r>
        <w:rPr>
          <w:b/>
          <w:bCs/>
        </w:rPr>
        <w:t xml:space="preserve">Groq openai/gpt-oss-120b</w:t>
      </w:r>
      <w:r>
        <w:t xml:space="preserve"> (grounded generation) → Office resolution → </w:t>
      </w:r>
      <w:r>
        <w:rPr>
          <w:b/>
          <w:bCs/>
        </w:rPr>
        <w:t xml:space="preserve">Wayfinding module</w:t>
      </w:r>
      <w:r>
        <w:t xml:space="preserve"> (floor + grid coordinate)</w:t>
      </w:r>
    </w:p>
    <w:p>
      <w:pPr>
        <w:pStyle w:val="ListParagraph"/>
        <w:numPr>
          <w:ilvl w:val="0"/>
          <w:numId w:val="2"/>
        </w:numPr>
      </w:pPr>
      <w:r>
        <w:t xml:space="preserve">A side branch from the generation step to </w:t>
      </w:r>
      <w:r>
        <w:rPr>
          <w:b/>
          <w:bCs/>
        </w:rPr>
        <w:t xml:space="preserve">Upstash Redis</w:t>
      </w:r>
      <w:r>
        <w:t xml:space="preserve"> labelled “anonymous operational log → Administrative Analytics”.</w:t>
      </w:r>
    </w:p>
    <w:p>
      <w:pPr>
        <w:pStyle w:val="ListParagraph"/>
        <w:numPr>
          <w:ilvl w:val="0"/>
          <w:numId w:val="2"/>
        </w:numPr>
      </w:pPr>
      <w:r>
        <w:t xml:space="preserve">Remove any GPU, FAISS, Ollama, or reranker boxes.</w:t>
      </w:r>
    </w:p>
    <w:p>
      <w:r>
        <w:br w:type="page"/>
      </w:r>
    </w:p>
    <w:p>
      <w:pPr>
        <w:pStyle w:val="Heading1"/>
      </w:pPr>
      <w:r>
        <w:t xml:space="preserve">Fix 3 — pp. 88–89: software and hardware table</w:t>
      </w:r>
    </w:p>
    <w:p>
      <w:pPr>
        <w:spacing w:after="120"/>
      </w:pPr>
      <w:r>
        <w:t xml:space="preserve">The current table lists faiss-cpu, Ollama (qwen2.5:3b), systemd on Ubuntu, llama-3.3-70b-versatile, and gemini-2.5-flash. None of these are in the deployed system. Note in particular that llama-3.3-70b-versatile was moved to enterprise-only access by its provider on 16 August 2026 and can no longer be called on a self-serve account.</w:t>
      </w:r>
    </w:p>
    <w:p>
      <w:pPr>
        <w:spacing w:after="120"/>
      </w:pPr>
      <w:r>
        <w:rPr>
          <w:b/>
          <w:bCs/>
        </w:rPr>
        <w:t xml:space="preserve">Replace the table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Frontend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Static HTML/CSS/JavaScript on Vercel (edge CDN)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Citizen interface: assistant, floor-plan canvas, turn-by-turn directions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Application layer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Vercel serverless functions (Node.js)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Stateless API endpoints for chat, analytics, and published map state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Embedding &amp; retrieval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Upstash Vector (managed); text-embedding-3-small, 1,536-dim, cosine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Server-side query embedding and nearest-neighbour retrieval over 305 service records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Answer generation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Groq API — openai/gpt-oss-120b (131K context)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Grounded response generation (temperature 0.3, 1,600-token limit)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Operational datastore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Upstash Redis (REST)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Anonymous interaction log for analytics; published floor-plan state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Indoor positioning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QR-code deep links; Pedestrian Dead Reckoning via device motion and magnetometer (in-browser)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Location initialisation and step-based position tracking</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Route computation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Dijkstra over a 75×75 four-connected grid per floor (in-browser)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Office-to-office path computation and turn-by-turn instructions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Source control &amp; deployment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Git / GitHub with automatic deployment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Versioning of source code, service corpus, and floor-plan data</w:t>
            </w:r>
          </w:p>
        </w:tc>
      </w:tr>
    </w:tbl>
    <w:p>
      <w:pPr>
        <w:spacing w:after="120"/>
      </w:pPr>
      <w:r>
        <w:t xml:space="preserve"/>
      </w:r>
    </w:p>
    <w:p>
      <w:pPr>
        <w:spacing w:after="120"/>
      </w:pPr>
      <w:r>
        <w:rPr>
          <w:b/>
          <w:bCs/>
        </w:rPr>
        <w:t xml:space="preserve">Hardware requirements (replace any GPU/server specification):</w:t>
      </w:r>
    </w:p>
    <w:p>
      <w:pPr>
        <w:pStyle w:val="ListParagraph"/>
        <w:numPr>
          <w:ilvl w:val="0"/>
          <w:numId w:val="2"/>
        </w:numPr>
      </w:pPr>
      <w:r>
        <w:rPr>
          <w:b/>
          <w:bCs/>
        </w:rPr>
        <w:t xml:space="preserve">Local government:</w:t>
      </w:r>
      <w:r>
        <w:t xml:space="preserve"> none. No server, graphics processing unit, or on-premises AI infrastructure is required.</w:t>
      </w:r>
    </w:p>
    <w:p>
      <w:pPr>
        <w:pStyle w:val="ListParagraph"/>
        <w:numPr>
          <w:ilvl w:val="0"/>
          <w:numId w:val="2"/>
        </w:numPr>
      </w:pPr>
      <w:r>
        <w:rPr>
          <w:b/>
          <w:bCs/>
        </w:rPr>
        <w:t xml:space="preserve">Citizen device:</w:t>
      </w:r>
      <w:r>
        <w:t xml:space="preserve"> any modern smartphone, tablet, or computer with a current web browser and an internet connection. The camera is used only for scanning posted QR codes, and motion sensors only for Pedestrian Dead Reckoning; both are optional. No installation is required.</w:t>
      </w:r>
    </w:p>
    <w:p>
      <w:pPr>
        <w:pStyle w:val="Heading1"/>
      </w:pPr>
      <w:r>
        <w:t xml:space="preserve">Fix 4 — p. 115: the privacy clause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B91C1C" w:sz="12"/>
              <w:bottom w:val="single" w:color="E2E8F0" w:sz="1"/>
              <w:right w:val="single" w:color="E2E8F0" w:sz="1"/>
            </w:tcBorders>
            <w:shd w:fill="FAFAFA" w:val="clear"/>
            <w:tcMar>
              <w:top w:type="dxa" w:w="120"/>
              <w:left w:type="dxa" w:w="180"/>
              <w:bottom w:type="dxa" w:w="120"/>
              <w:right w:type="dxa" w:w="160"/>
            </w:tcMar>
          </w:tcPr>
          <w:p>
            <w:pPr>
              <w:spacing w:after="60"/>
            </w:pPr>
            <w:r>
              <w:rPr>
                <w:b/>
                <w:bCs/>
                <w:color w:val="B91C1C"/>
                <w:sz w:val="19"/>
                <w:szCs w:val="19"/>
              </w:rPr>
              <w:t xml:space="preserve">REMOVE</w:t>
            </w:r>
          </w:p>
          <w:p>
            <w:pPr>
              <w:spacing w:after="90"/>
            </w:pPr>
            <w:r>
              <w:rPr>
                <w:i/>
                <w:iCs/>
              </w:rPr>
              <w:t xml:space="preserve">“The study utilizes locally hosted AI inference and retrieval infrastructure to minimize exposure of municipal data to third-party cloud providers and external AI services.”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5803D" w:sz="12"/>
              <w:bottom w:val="single" w:color="E2E8F0" w:sz="1"/>
              <w:right w:val="single" w:color="E2E8F0" w:sz="1"/>
            </w:tcBorders>
            <w:shd w:fill="FAFAFA" w:val="clear"/>
            <w:tcMar>
              <w:top w:type="dxa" w:w="120"/>
              <w:left w:type="dxa" w:w="180"/>
              <w:bottom w:type="dxa" w:w="120"/>
              <w:right w:type="dxa" w:w="160"/>
            </w:tcMar>
          </w:tcPr>
          <w:p>
            <w:pPr>
              <w:spacing w:after="60"/>
            </w:pPr>
            <w:r>
              <w:rPr>
                <w:b/>
                <w:bCs/>
                <w:color w:val="15803D"/>
                <w:sz w:val="19"/>
                <w:szCs w:val="19"/>
              </w:rPr>
              <w:t xml:space="preserve">PASTE</w:t>
            </w:r>
          </w:p>
          <w:p>
            <w:pPr>
              <w:spacing w:after="90"/>
            </w:pPr>
            <w:r>
              <w:rPr>
                <w:i w:val="false"/>
                <w:iCs w:val="false"/>
              </w:rPr>
              <w:t xml:space="preserve">The study processes a public knowledge base — the official Citizen’s Charter of the City of Calamba — using managed cloud services. No sensitive citizen records, financial information, or confidential government transactions are processed or stored. The system retains only anonymous operational interaction logs, comprising the timestamp, query text, resolved office, response latency, and detected language, which support the Administrative Analytics module. Administrative functions are protected by role-based access control and a separate publishing credential. These measures observe Republic Act No. 10173, the Data Privacy Act of 2012, through data minimisation, restricted access privileges, and defined retention policies.</w:t>
            </w:r>
          </w:p>
        </w:tc>
      </w:tr>
    </w:tbl>
    <w:p>
      <w:r>
        <w:br w:type="page"/>
      </w:r>
    </w:p>
    <w:p>
      <w:pPr>
        <w:pStyle w:val="Heading1"/>
      </w:pPr>
      <w:r>
        <w:t xml:space="preserve">Fix 5 — pp. 15–16: reframe the reranking section</w:t>
      </w:r>
    </w:p>
    <w:p>
      <w:pPr>
        <w:spacing w:after="120"/>
      </w:pPr>
      <w:r>
        <w:t xml:space="preserve">Do not delete the FAISS and Cross-Encoder Reranking sections. Keep them as the literature basis, then add the paragraph below at the end of the reranking discussion. This converts an apparent omission into a measured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5803D" w:sz="12"/>
              <w:bottom w:val="single" w:color="E2E8F0" w:sz="1"/>
              <w:right w:val="single" w:color="E2E8F0" w:sz="1"/>
            </w:tcBorders>
            <w:shd w:fill="FAFAFA" w:val="clear"/>
            <w:tcMar>
              <w:top w:type="dxa" w:w="120"/>
              <w:left w:type="dxa" w:w="180"/>
              <w:bottom w:type="dxa" w:w="120"/>
              <w:right w:type="dxa" w:w="160"/>
            </w:tcMar>
          </w:tcPr>
          <w:p>
            <w:pPr>
              <w:spacing w:after="60"/>
            </w:pPr>
            <w:r>
              <w:rPr>
                <w:b/>
                <w:bCs/>
                <w:color w:val="15803D"/>
                <w:sz w:val="19"/>
                <w:szCs w:val="19"/>
              </w:rPr>
              <w:t xml:space="preserve">ADD at the end of “Cross-Encoder Reranking and Two-Stage Retrieval Architectures”</w:t>
            </w:r>
          </w:p>
          <w:p>
            <w:pPr>
              <w:spacing w:after="90"/>
            </w:pPr>
            <w:r>
              <w:rPr>
                <w:i w:val="false"/>
                <w:iCs w:val="false"/>
              </w:rPr>
              <w:t xml:space="preserve">Although the literature consistently reports precision gains from cross-encoder reranking, those gains are typically demonstrated on large and lexically heterogeneous corpora. To determine whether the same benefit holds for a municipal Citizen’s Charter corpus, this study conducted a controlled ablation in which an identical first-stage candidate set was scored with and without a BAAI/bge-reranker-base cross-encoder. Reranking reduced retrieval quality on every measure, lowering Mean Reciprocal Rank from 0.768 to 0.671 and Precision@1 from 0.750 to 0.571. Two properties of the corpus account for this outcome. First, Citizen’s Charter records are short, lexically distinct service statements, so the bi-encoder already ranks the correct service first in the majority of queries, leaving little mis-ordering for a cross-encoder to correct. Second, the residual failures are recall failures, in which no relevant record appears among the retrieved candidates; a reranker cannot repair these because it only reorders the candidates it is given. The cross-encoder stage was therefore omitted from the deployed architecture — a decision grounded in measurement rather than convenience, which additionally reduces response latency and operating cost.</w:t>
            </w:r>
          </w:p>
        </w:tc>
      </w:tr>
    </w:tbl>
    <w:p>
      <w:pPr>
        <w:pStyle w:val="Heading1"/>
      </w:pPr>
      <w:r>
        <w:t xml:space="preserve">Fix 6 — figures to carry into Chapter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Item</w:t>
            </w:r>
          </w:p>
        </w:tc>
        <w:tc>
          <w:tcPr>
            <w:tcW w:type="dxa" w:w="6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Current (correct) value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Corpus size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305 services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Office coverage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31 of 31 offices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Corpus provenance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235 from the online charter catalogue; 70 from the official per-office PDF charters (2025 1st Edition)</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Mean Reciprocal Rank</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0.860</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Precision@1 / NDCG@1</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0.829 / 0.829</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Precision@3 / NDCG@3</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0.724 / 0.753</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Precision@5 / NDCG@5</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0.651 / 0.705</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Evaluation set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35 queries, department-level relevance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Standard citation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ISO/IEC 25010:2011 — cite with the year (the 2023 revision changed the characteristics)</w:t>
            </w:r>
          </w:p>
        </w:tc>
      </w:tr>
    </w:tbl>
    <w:p>
      <w:pPr>
        <w:spacing w:after="120"/>
      </w:pPr>
      <w:r>
        <w:t xml:space="preserve"/>
      </w:r>
    </w:p>
    <w:p>
      <w:pPr>
        <w:spacing w:after="120"/>
      </w:pPr>
      <w:r>
        <w:rPr>
          <w:b/>
          <w:bCs/>
        </w:rPr>
        <w:t xml:space="preserve">Disclose the ground-truth correction.</w:t>
      </w:r>
    </w:p>
    <w:p>
      <w:pPr>
        <w:spacing w:after="120"/>
      </w:pPr>
      <w:r>
        <w:t xml:space="preserve">Five expected department names in the original test set matched no department in the corpus (for example “BUILDING REGULATORY SERVICES OFFICE” against the actual “BUILDINGS REGULATORY SERVICES DEPARTMENT”), so those queries scored zero regardless of system output. Three further queries named offices that were absent from the earlier corpus. Both were corrected and the correction documented per query. State this in the methodology: it explains why figures differ from earlier drafts and demonstrates methodological rigour rather than concealing a revision.</w:t>
      </w:r>
    </w:p>
    <w:p>
      <w:pPr>
        <w:pStyle w:val="Heading1"/>
      </w:pPr>
      <w:r>
        <w:t xml:space="preserve">Checklist for the editor</w:t>
      </w:r>
    </w:p>
    <w:p>
      <w:pPr>
        <w:pStyle w:val="ListParagraph"/>
        <w:numPr>
          <w:ilvl w:val="0"/>
          <w:numId w:val="3"/>
        </w:numPr>
      </w:pPr>
      <w:r>
        <w:t xml:space="preserve">Replace the Pipeline Stages block (pp. 80–81) with the four stages above.</w:t>
      </w:r>
    </w:p>
    <w:p>
      <w:pPr>
        <w:pStyle w:val="ListParagraph"/>
        <w:numPr>
          <w:ilvl w:val="0"/>
          <w:numId w:val="3"/>
        </w:numPr>
      </w:pPr>
      <w:r>
        <w:t xml:space="preserve">Delete the “entirely on local hardware / 3.7 GB GPU” sentences (p. 80).</w:t>
      </w:r>
    </w:p>
    <w:p>
      <w:pPr>
        <w:pStyle w:val="ListParagraph"/>
        <w:numPr>
          <w:ilvl w:val="0"/>
          <w:numId w:val="3"/>
        </w:numPr>
      </w:pPr>
      <w:r>
        <w:t xml:space="preserve">Re-caption and redraw Figure 5 (p. 80).</w:t>
      </w:r>
    </w:p>
    <w:p>
      <w:pPr>
        <w:pStyle w:val="ListParagraph"/>
        <w:numPr>
          <w:ilvl w:val="0"/>
          <w:numId w:val="3"/>
        </w:numPr>
      </w:pPr>
      <w:r>
        <w:t xml:space="preserve">Replace the software table and hardware specification (pp. 88–89).</w:t>
      </w:r>
    </w:p>
    <w:p>
      <w:pPr>
        <w:pStyle w:val="ListParagraph"/>
        <w:numPr>
          <w:ilvl w:val="0"/>
          <w:numId w:val="3"/>
        </w:numPr>
      </w:pPr>
      <w:r>
        <w:t xml:space="preserve">Replace the privacy clause (p. 115).</w:t>
      </w:r>
    </w:p>
    <w:p>
      <w:pPr>
        <w:pStyle w:val="ListParagraph"/>
        <w:numPr>
          <w:ilvl w:val="0"/>
          <w:numId w:val="3"/>
        </w:numPr>
      </w:pPr>
      <w:r>
        <w:t xml:space="preserve">Add the ablation paragraph to the reranking section (p. 16).</w:t>
      </w:r>
    </w:p>
    <w:p>
      <w:pPr>
        <w:pStyle w:val="ListParagraph"/>
        <w:numPr>
          <w:ilvl w:val="0"/>
          <w:numId w:val="3"/>
        </w:numPr>
      </w:pPr>
      <w:r>
        <w:t xml:space="preserve">Resolve the internal contradiction: one section states Groq is primary with Ollama as fallback, while pp. 80–81 state the pipeline is entirely local. After the edits above, the cloud description is the correct one.</w:t>
      </w:r>
    </w:p>
    <w:p>
      <w:pPr>
        <w:pStyle w:val="ListParagraph"/>
        <w:numPr>
          <w:ilvl w:val="0"/>
          <w:numId w:val="3"/>
        </w:numPr>
      </w:pPr>
      <w:r>
        <w:t xml:space="preserve">Carry the corrected figures into Chapter 4 and cite ISO/IEC 25010:2011 with its year.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Dissertation Alignment Fixes  —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E40A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Dissertation Alignment Fixes — Chapters 1–2</dc:title>
  <dc:creator>Jester C. Penaranda</dc:creator>
  <cp:lastModifiedBy>Un-named</cp:lastModifiedBy>
  <cp:revision>1</cp:revision>
  <dcterms:created xsi:type="dcterms:W3CDTF">2026-10-05T15:35:04.089Z</dcterms:created>
  <dcterms:modified xsi:type="dcterms:W3CDTF">2026-10-05T15:35:04.090Z</dcterms:modified>
</cp:coreProperties>
</file>

<file path=docProps/custom.xml><?xml version="1.0" encoding="utf-8"?>
<Properties xmlns="http://schemas.openxmlformats.org/officeDocument/2006/custom-properties" xmlns:vt="http://schemas.openxmlformats.org/officeDocument/2006/docPropsVTypes"/>
</file>