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40AF"/>
          <w:sz w:val="40"/>
          <w:szCs w:val="40"/>
        </w:rPr>
        <w:t xml:space="preserve">Geo-Agentic RAG Intelligent System</w:t>
      </w:r>
    </w:p>
    <w:p>
      <w:pPr>
        <w:spacing w:after="60"/>
      </w:pPr>
      <w:r>
        <w:rPr>
          <w:color w:val="64748B"/>
          <w:sz w:val="26"/>
          <w:szCs w:val="26"/>
        </w:rPr>
        <w:t xml:space="preserve">Integrated Document Services, Indoor Wayfinding, and Administrative Analytics</w:t>
      </w:r>
    </w:p>
    <w:p>
      <w:pPr>
        <w:spacing w:after="60"/>
      </w:pPr>
      <w:r>
        <w:rPr>
          <w:b/>
          <w:bCs/>
          <w:sz w:val="28"/>
          <w:szCs w:val="28"/>
        </w:rPr>
        <w:t xml:space="preserve">Implementation Progress Report</w:t>
      </w:r>
    </w:p>
    <w:p>
      <w:pPr>
        <w:pBdr>
          <w:bottom w:val="single" w:color="1E40AF" w:sz="6" w:space="4"/>
        </w:pBdr>
        <w:spacing w:after="240"/>
      </w:pPr>
      <w:r>
        <w:rPr>
          <w:color w:val="64748B"/>
          <w:sz w:val="20"/>
          <w:szCs w:val="20"/>
        </w:rPr>
        <w:t xml:space="preserve">Calamba City Hall  •  Prepared by Jester C. Penaranda  •  16 June 2026</w:t>
      </w:r>
    </w:p>
    <w:p>
      <w:pPr>
        <w:spacing w:after="120"/>
      </w:pPr>
      <w:r>
        <w:rPr>
          <w:i/>
          <w:iCs/>
        </w:rPr>
        <w:t xml:space="preserve">Purpose: bring a collaborator up to date on the current state of the system — what is built and live, the key technical decisions and their evidence, and what remains. All source is on the project repository; supporting documents are named at the end.</w:t>
      </w:r>
    </w:p>
    <w:p>
      <w:pPr>
        <w:spacing w:after="80" w:before="120"/>
      </w:pPr>
      <w:r>
        <w:rPr>
          <w:b/>
          <w:bCs/>
          <w:color w:val="1E40AF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system is a single citizen-facing web platform that unifies three modules: (1) a Conversational AI service guide powered by Retrieval-Augmented Generation (RAG) over the official Citizen’s Charter, (2) Indoor Wayfinding using QR-code positioning and Pedestrian Dead Reckoning (PDR), and (3) Administrative Analytics for service-inquiry trends.</w:t>
      </w:r>
    </w:p>
    <w:p>
      <w:pPr>
        <w:spacing w:after="120"/>
      </w:pPr>
      <w:r>
        <w:t xml:space="preserve">It is deployed and live as a fully cloud / serverless application — no City Hall server, GPU, or installed software. Citizens use their own phones; staff manage it from any browser. The primary technical decision this period was committing to this fully cloud architecture and validating it against the original local design.</w:t>
      </w:r>
    </w:p>
    <w:p>
      <w:pPr>
        <w:spacing w:after="120"/>
      </w:pPr>
      <w:r>
        <w:rPr>
          <w:b/>
          <w:bCs/>
        </w:rPr>
        <w:t xml:space="preserve">Headline status: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AI</w:t>
      </w:r>
      <w:r>
        <w:t xml:space="preserve"> — live; retrieval quality MRR 0.762 / Precision@1 0.750. A controlled experiment showed the originally-planned reranker actually lowers quality on this corpus, so it was dropped (evidence below).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Wayfinding</w:t>
      </w:r>
      <w:r>
        <w:t xml:space="preserve"> — live; chat → “Take me there” → QR location fix → map route with one live turn-by-turn instruction, a wrong-way warning, and a facing indicator.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</w:t>
      </w:r>
      <w:r>
        <w:t xml:space="preserve"> — live; usage dashboard backed by the cloud query log.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Multi-admin map management</w:t>
      </w:r>
      <w:r>
        <w:t xml:space="preserve"> — staff can now edit rooms and publish changes to every device without code or git.</w:t>
      </w:r>
    </w:p>
    <w:p>
      <w:pPr>
        <w:pStyle w:val="Heading1"/>
      </w:pPr>
      <w:r>
        <w:t xml:space="preserve">2. System architecture (fully cloud)</w:t>
      </w:r>
    </w:p>
    <w:p>
      <w:pPr>
        <w:spacing w:after="120"/>
      </w:pPr>
      <w:r>
        <w:t xml:space="preserve">Decision (16 June 2026): the methodology moves from a “fully local” RAG pipeline to a cloud / serverless one. Justification: zero on-prem hardware, zero-maintenance deployment to citizens’ phones, and the fact that the Citizen’s Charter is a public document — nothing sensitive leaves a private boundary; only anonymous operational query logs are stored (compliant with RA 10173).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Old design (local)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system (cloud)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HTTPS server on an on-prem PC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(static + serverless functions, CDN)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multilingual-e5-large (~2.2 GB, local)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Upstash Vector — text-embedding-3-small (managed)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 search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FAISS IndexFlatIP (in-process)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Upstash Vector (managed)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Reranker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bge-reranker-base cross-encoder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— evaluated and dropped (see §5)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Ollama local model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Groq llama-3.3-70b-versatile (hosted)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Analytics store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file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Upstash Redis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LGU hardware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 + 8–40 GB VRAM GPU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pPr>
        <w:spacing w:after="120"/>
      </w:pPr>
      <w:r>
        <w:rPr>
          <w:i/>
          <w:iCs/>
        </w:rPr>
        <w:t xml:space="preserve">A 70B local model at parity with the hosted LLM would need roughly 40 GB+ of GPU memory, which defeats the no-hardware goal. Full old→new breakdown (hardware, software, cost, privacy wording) is in SYSTEM_REQUIREMENTS.md.</w:t>
      </w:r>
    </w:p>
    <w:p>
      <w:pPr>
        <w:pStyle w:val="Heading1"/>
      </w:pPr>
      <w:r>
        <w:t xml:space="preserve">3. Module 1 — Conversational AI (RAG)</w:t>
      </w:r>
    </w:p>
    <w:p>
      <w:pPr>
        <w:pStyle w:val="ListParagraph"/>
        <w:numPr>
          <w:ilvl w:val="0"/>
          <w:numId w:val="2"/>
        </w:numPr>
      </w:pPr>
      <w:r>
        <w:t xml:space="preserve">Grounded answers from the official 2024–2025 Citizen’s Charter: </w:t>
      </w:r>
      <w:r>
        <w:rPr>
          <w:b/>
          <w:bCs/>
        </w:rPr>
        <w:t xml:space="preserve">235 services</w:t>
      </w:r>
      <w:r>
        <w:t xml:space="preserve"> across </w:t>
      </w:r>
      <w:r>
        <w:rPr>
          <w:b/>
          <w:bCs/>
        </w:rPr>
        <w:t xml:space="preserve">31 canonical offices</w:t>
      </w:r>
      <w:r>
        <w:t xml:space="preserve">, each with requirements and steps.</w:t>
      </w:r>
    </w:p>
    <w:p>
      <w:pPr>
        <w:pStyle w:val="ListParagraph"/>
        <w:numPr>
          <w:ilvl w:val="0"/>
          <w:numId w:val="2"/>
        </w:numPr>
      </w:pPr>
      <w:r>
        <w:t xml:space="preserve">Serverless pipeline: a query is embedded and searched in Upstash Vector, the top matches are assembled into context, and Groq generates a grounded, Taglish-aware reply that ends with the responsible office.</w:t>
      </w:r>
    </w:p>
    <w:p>
      <w:pPr>
        <w:pStyle w:val="ListParagraph"/>
        <w:numPr>
          <w:ilvl w:val="0"/>
          <w:numId w:val="2"/>
        </w:numPr>
      </w:pPr>
      <w:r>
        <w:t xml:space="preserve">The answer links directly into Wayfinding: </w:t>
      </w:r>
      <w:r>
        <w:rPr>
          <w:b/>
          <w:bCs/>
        </w:rPr>
        <w:t xml:space="preserve">26 of 31 offices are mapped</w:t>
      </w:r>
      <w:r>
        <w:t xml:space="preserve">, making </w:t>
      </w:r>
      <w:r>
        <w:rPr>
          <w:b/>
          <w:bCs/>
        </w:rPr>
        <w:t xml:space="preserve">197 of 235 services</w:t>
      </w:r>
      <w:r>
        <w:t xml:space="preserve"> routable end-to-end (“Take me there”).</w:t>
      </w:r>
    </w:p>
    <w:p>
      <w:pPr>
        <w:pStyle w:val="ListParagraph"/>
        <w:numPr>
          <w:ilvl w:val="0"/>
          <w:numId w:val="2"/>
        </w:numPr>
      </w:pPr>
      <w:r>
        <w:t xml:space="preserve">Concurrency: Vercel and Upstash auto-scale. The one shared limit is the Groq API rate cap — fine for one-at-a-time use; for a multi-user pilot the Groq tier should be raised. Rate-limit hits degrade gracefully to a “busy, try again” notice.</w:t>
      </w:r>
    </w:p>
    <w:p>
      <w:pPr>
        <w:pStyle w:val="Heading1"/>
      </w:pPr>
      <w:r>
        <w:t xml:space="preserve">4. Module 2 — Indoor Wayfinding</w:t>
      </w:r>
    </w:p>
    <w:p>
      <w:pPr>
        <w:spacing w:after="120"/>
      </w:pPr>
      <w:r>
        <w:t xml:space="preserve">The citizen experience is chat-first. On arrival they see the Calamba eGov hero with a single “City Services Assistant” button (lower-right). The flow is intentionally guided:</w:t>
      </w:r>
    </w:p>
    <w:p>
      <w:pPr>
        <w:pStyle w:val="ListParagraph"/>
        <w:numPr>
          <w:ilvl w:val="0"/>
          <w:numId w:val="3"/>
        </w:numPr>
      </w:pPr>
      <w:r>
        <w:t xml:space="preserve">Open the assistant; tap a common-request chip (Business permit, Cedula, Marriage certificate, Senior ID, Real property tax, Building permit) or type a question.</w:t>
      </w:r>
    </w:p>
    <w:p>
      <w:pPr>
        <w:pStyle w:val="ListParagraph"/>
        <w:numPr>
          <w:ilvl w:val="0"/>
          <w:numId w:val="3"/>
        </w:numPr>
      </w:pPr>
      <w:r>
        <w:t xml:space="preserve">Tap “Take me there” on the answer.</w:t>
      </w:r>
    </w:p>
    <w:p>
      <w:pPr>
        <w:pStyle w:val="ListParagraph"/>
        <w:numPr>
          <w:ilvl w:val="0"/>
          <w:numId w:val="3"/>
        </w:numPr>
      </w:pPr>
      <w:r>
        <w:t xml:space="preserve">A QR location prompt appears — Scan a posted QR for an accurate start, or Skip (testing). Posted QRs are deep links that open the app already located, scannable with a phone’s normal camera.</w:t>
      </w:r>
    </w:p>
    <w:p>
      <w:pPr>
        <w:pStyle w:val="ListParagraph"/>
        <w:numPr>
          <w:ilvl w:val="0"/>
          <w:numId w:val="3"/>
        </w:numPr>
      </w:pPr>
      <w:r>
        <w:t xml:space="preserve">The map draws the route and step-tracking (PDR) starts automatically; the view follows the user.</w:t>
      </w:r>
    </w:p>
    <w:p>
      <w:pPr>
        <w:pStyle w:val="ListParagraph"/>
        <w:numPr>
          <w:ilvl w:val="0"/>
          <w:numId w:val="3"/>
        </w:numPr>
      </w:pPr>
      <w:r>
        <w:t xml:space="preserve">One instruction shows at a time (e.g., “Turn left, then walk about 8 m”); a red “Wrong way” banner appears if they head off-route; an arrival prompt confirms the destination.</w:t>
      </w:r>
    </w:p>
    <w:p>
      <w:pPr>
        <w:pStyle w:val="Heading2"/>
      </w:pPr>
      <w:r>
        <w:t xml:space="preserve">Wayfinding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Positioning:</w:t>
      </w:r>
      <w:r>
        <w:t xml:space="preserve"> QR-code deep links are the primary, most accurate fix; PDR (step + heading) is the backup. A re-anchor button on the instruction banner lets a citizen re-scan a QR mid-walk to correct drift.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You-are-here marker:</w:t>
      </w:r>
      <w:r>
        <w:t xml:space="preserve"> a circle with a triangle that points strictly to N/S/E/W, matching the 4-direction grid movement (no jittery free rotation).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start:</w:t>
      </w:r>
      <w:r>
        <w:t xml:space="preserve"> the Ground-floor east public entrance beside the MOPAC counter (cell 38,72); routing snaps to the nearest walkable cell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is read-only for citizens</w:t>
      </w:r>
      <w:r>
        <w:t xml:space="preserve"> — the destination is set only by the assistant, never by tapping the grid.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Building model:</w:t>
      </w:r>
      <w:r>
        <w:t xml:space="preserve"> 4 floors (Lower Ground, Ground, 2nd, 3rd) on a 75×75 grid; cross-floor trips prompt at the stairs.</w:t>
      </w:r>
    </w:p>
    <w:p>
      <w:pPr>
        <w:pStyle w:val="Heading1"/>
      </w:pPr>
      <w:r>
        <w:t xml:space="preserve">5. Key evaluation finding — the reranker was dropped, with evidence</w:t>
      </w:r>
    </w:p>
    <w:p>
      <w:pPr>
        <w:spacing w:after="120"/>
      </w:pPr>
      <w:r>
        <w:t xml:space="preserve">The original methodology specified a cross-encoder reranker (bge-reranker-base). We ran a controlled ablation on the same retrieval candidates, with vs without that reranker. Result: it made every metric worse.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reranker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With reranker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−0.097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Precision@1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−0.179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NDCG@1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−0.179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NDCG@5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−0.043</w:t>
            </w:r>
          </w:p>
        </w:tc>
      </w:tr>
    </w:tbl>
    <w:p>
      <w:pPr>
        <w:spacing w:after="120"/>
      </w:pPr>
      <w:r>
        <w:t xml:space="preserve">Why: on a small, clean corpus the embedding model already ranks the correct service first, so a general-purpose reranker mostly re-sorts noise; and the remaining failures are recall misses (the right office wasn’t retrieved at all), which a reranker cannot fix. Decision: omit the reranker — reported as an experimental finding, not an oversight. Detail in RERANK_ABLATION_SUMMARY.md.</w:t>
      </w:r>
    </w:p>
    <w:p>
      <w:pPr>
        <w:pStyle w:val="Heading1"/>
      </w:pPr>
      <w:r>
        <w:t xml:space="preserve">6. Module 3 — Analytics &amp; multi-admin map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dashboard</w:t>
      </w:r>
      <w:r>
        <w:t xml:space="preserve"> (admin.html) reads the cloud query log: total and daily queries, ambiguity rate, average latency, top departments and sub-services, a 7-day trend, and recent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Multi-admin room management (new):</w:t>
      </w:r>
      <w:r>
        <w:t xml:space="preserve"> staff enter an admin view (PIN-gated), edit walls/doors/stairs and office labels, then tap “Publish to all devices.” Every device picks up the published map on its next load — no git, no laptop. This replaces the old developer-only bake-and-push for day-to-day changes.</w:t>
      </w:r>
    </w:p>
    <w:p>
      <w:pPr>
        <w:pStyle w:val="ListParagraph"/>
        <w:numPr>
          <w:ilvl w:val="0"/>
          <w:numId w:val="2"/>
        </w:numPr>
      </w:pPr>
      <w:r>
        <w:t xml:space="preserve">Publishing is protected by a server-side token (MAP_ADMIN_TOKEN) and fails closed if it isn’t set, so the shared map can’t be overwritten anonymously. Step-by-step instructions are in ADMIN_GUIDE.md.</w:t>
      </w:r>
    </w:p>
    <w:p>
      <w:pPr>
        <w:pStyle w:val="Heading1"/>
      </w:pPr>
      <w:r>
        <w:t xml:space="preserve">7. QR anchor placement (for accurate positioning)</w:t>
      </w:r>
    </w:p>
    <w:p>
      <w:pPr>
        <w:spacing w:after="120"/>
      </w:pPr>
      <w:r>
        <w:t xml:space="preserve">Posted QR codes are the main way a citizen is located. The placement logic: positioning error grows with distance walked, and vertical movement is PDR’s blind spot — so the highest-value anchors are the main entrance and every stair/elevator landing (each QR fixes both position and floor in one scan). Recommended minimum set:</w:t>
      </w:r>
    </w:p>
    <w:p>
      <w:pPr>
        <w:pStyle w:val="ListParagraph"/>
        <w:numPr>
          <w:ilvl w:val="0"/>
          <w:numId w:val="2"/>
        </w:numPr>
      </w:pPr>
      <w:r>
        <w:t xml:space="preserve">Main entrance / MOPAC counter (Ground floor).</w:t>
      </w:r>
    </w:p>
    <w:p>
      <w:pPr>
        <w:pStyle w:val="ListParagraph"/>
        <w:numPr>
          <w:ilvl w:val="0"/>
          <w:numId w:val="2"/>
        </w:numPr>
      </w:pPr>
      <w:r>
        <w:t xml:space="preserve">Each stair/elevator landing, on every floor, encoding that floor.</w:t>
      </w:r>
    </w:p>
    <w:p>
      <w:pPr>
        <w:pStyle w:val="ListParagraph"/>
        <w:numPr>
          <w:ilvl w:val="0"/>
          <w:numId w:val="2"/>
        </w:numPr>
      </w:pPr>
      <w:r>
        <w:t xml:space="preserve">Busy offices far from the entrance (e.g., Civil Registry, Business Permit).</w:t>
      </w:r>
    </w:p>
    <w:p>
      <w:pPr>
        <w:spacing w:after="120"/>
      </w:pPr>
      <w:r>
        <w:rPr>
          <w:i/>
          <w:iCs/>
        </w:rPr>
        <w:t xml:space="preserve">Exact grid coordinates per floor, with reasoning, are in QR_ANCHOR_PLAN.md. Final spots need a brief on-site check; any QR can be regenerated in-app.</w:t>
      </w:r>
    </w:p>
    <w:p>
      <w:pPr>
        <w:pStyle w:val="Heading1"/>
      </w:pPr>
      <w:r>
        <w:t xml:space="preserve">8. Coverage of the research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Objective (SOP)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Integrated system (3 modules)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 — unified and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RAG service guidance from the Charter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 — grounded answers, retrieval benchmarked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Office-to-office indoor wayfinding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Done — routing + live directions + QR/PDR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Effectiveness (ISO 25010, SUS, metrics)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— retrieval metrics done; SUS, software-quality, navigation, and groundedness/faithfulness still to run</w:t>
            </w:r>
          </w:p>
        </w:tc>
      </w:tr>
    </w:tbl>
    <w:p>
      <w:pPr>
        <w:spacing w:after="120"/>
      </w:pPr>
      <w:r>
        <w:rPr>
          <w:i/>
          <w:iCs/>
        </w:rPr>
        <w:t xml:space="preserve">Detail and gaps are tracked in OBJECTIVES_ASSESSMENT.md.</w:t>
      </w:r>
    </w:p>
    <w:p>
      <w:pPr>
        <w:pStyle w:val="Heading1"/>
      </w:pPr>
      <w:r>
        <w:t xml:space="preserve">9. What remains (priority order)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SUS + evaluation instruments</w:t>
      </w:r>
      <w:r>
        <w:t xml:space="preserve"> — build the 10-item questionnaire, task script, and software-quality (ISO 25010) survey; this is the main remaining evaluation gap.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On-site coordinate verification</w:t>
      </w:r>
      <w:r>
        <w:t xml:space="preserve"> — confirm office cells and QR anchor spots in the building.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Generation-quality metrics</w:t>
      </w:r>
      <w:r>
        <w:t xml:space="preserve"> — groundedness / faithfulness (and ROUGE/METEOR/BERTScore if desired).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 the remaining 5 offices</w:t>
      </w:r>
      <w:r>
        <w:t xml:space="preserve"> and confirm two temporary mappings.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PDR heading fusion (gyro + magnetometer)</w:t>
      </w:r>
      <w:r>
        <w:t xml:space="preserve"> to further reduce drift.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Operational setup</w:t>
      </w:r>
      <w:r>
        <w:t xml:space="preserve"> — set MAP_ADMIN_TOKEN in the hosting project; rotate any API keys shared during development.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health (post-defense)</w:t>
      </w:r>
      <w:r>
        <w:t xml:space="preserve"> — split the large front-end controller into modules.</w:t>
      </w:r>
    </w:p>
    <w:p>
      <w:pPr>
        <w:pStyle w:val="Heading1"/>
      </w:pPr>
      <w:r>
        <w:t xml:space="preserve">10. Action items for the paper (for you)</w:t>
      </w:r>
    </w:p>
    <w:p>
      <w:pPr>
        <w:spacing w:after="120"/>
      </w:pPr>
      <w:r>
        <w:t xml:space="preserve">Because the architecture changed from local to cloud, these manuscript sections need updating: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&amp; Delimitation</w:t>
      </w:r>
      <w:r>
        <w:t xml:space="preserve"> — replace “fully local RAG … FAISS … cross-encoder reranking … local LLMs … locally hosted inference” with the cloud/serverless description.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Definition of Terms</w:t>
      </w:r>
      <w:r>
        <w:t xml:space="preserve"> — update the RAG / system entries to managed vector DB + hosted LLM.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 &amp; Hardware Requirements</w:t>
      </w:r>
      <w:r>
        <w:t xml:space="preserve"> — swap the local server/GPU table for the cloud table (no LGU hardware; client device + cloud services).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clause (RA 10173)</w:t>
      </w:r>
      <w:r>
        <w:t xml:space="preserve"> — “public corpus; no sensitive citizen records processed; only anonymous operational query logs retained; role-based access.”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figure</w:t>
      </w:r>
      <w:r>
        <w:t xml:space="preserve"> — redraw the RAG block as Vercel + Upstash Vector + Groq + Upstash Redis.</w:t>
      </w:r>
    </w:p>
    <w:p>
      <w:pPr>
        <w:spacing w:after="120"/>
      </w:pPr>
      <w:r>
        <w:rPr>
          <w:i/>
          <w:iCs/>
        </w:rPr>
        <w:t xml:space="preserve">SYSTEM_REQUIREMENTS.md §G has this as a ready checklist with the exact wording.</w:t>
      </w:r>
    </w:p>
    <w:p>
      <w:pPr>
        <w:pStyle w:val="Heading1"/>
      </w:pPr>
      <w:r>
        <w:t xml:space="preserve">11. Reference documents (in the repository)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SYSTEM_REQUIREMENTS.md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 vs new requirements; privacy wording; paper-edit checklist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OBJECTIVES_ASSESSMENT.md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measured against the research objectives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ADMIN_GUIDE.md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 staff edit rooms, publish to all devices, read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QR_ANCHOR_PLAN.md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anchor coordinates per floor, with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RERANK_ABLATION_SUMMARY.md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reranker experiment and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UPSTASH_EVAL_AND_RATIONALE.md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retrieval metrics and architecture rationale (Scopus-cited)</w:t>
            </w:r>
          </w:p>
        </w:tc>
      </w:tr>
    </w:tbl>
    <w:p>
      <w:pPr>
        <w:spacing w:before="200"/>
      </w:pPr>
      <w:r>
        <w:rPr>
          <w:i/>
          <w:iCs/>
          <w:color w:val="64748B"/>
        </w:rPr>
        <w:t xml:space="preserve">Prepared for collaborator briefing. The live system, source code, and all documents above are current as of 16 June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Geo-Agentic RAG Progress Report  —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Geo-Agentic RAG Intelligent System — Progress Report</dc:title>
  <dc:creator>Jester C. Penaranda</dc:creator>
  <cp:lastModifiedBy>Un-named</cp:lastModifiedBy>
  <cp:revision>1</cp:revision>
  <dcterms:created xsi:type="dcterms:W3CDTF">2026-06-16T13:24:57.891Z</dcterms:created>
  <dcterms:modified xsi:type="dcterms:W3CDTF">2026-06-16T13:24:57.893Z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