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Najważniejsze metody klasy ComponentBase (Blazor)</w:t>
      </w:r>
    </w:p>
    <w:p>
      <w:r>
        <w:t>Każdy komponent Blazor dziedziczy po klasie ComponentBase. Ta klasa definiuje cykl życia komponentu oraz szereg metod, które można nadpisywać w celu kontrolowania zachowania i renderowania komponentu.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Metoda</w:t>
            </w:r>
          </w:p>
        </w:tc>
        <w:tc>
          <w:tcPr>
            <w:tcW w:type="dxa" w:w="2160"/>
          </w:tcPr>
          <w:p>
            <w:r>
              <w:t>Typ zwracany</w:t>
            </w:r>
          </w:p>
        </w:tc>
        <w:tc>
          <w:tcPr>
            <w:tcW w:type="dxa" w:w="2160"/>
          </w:tcPr>
          <w:p>
            <w:r>
              <w:t>Kiedy się wywołuje</w:t>
            </w:r>
          </w:p>
        </w:tc>
        <w:tc>
          <w:tcPr>
            <w:tcW w:type="dxa" w:w="2160"/>
          </w:tcPr>
          <w:p>
            <w:r>
              <w:t>Opis / Zastosowanie</w:t>
            </w:r>
          </w:p>
        </w:tc>
      </w:tr>
      <w:tr>
        <w:tc>
          <w:tcPr>
            <w:tcW w:type="dxa" w:w="2160"/>
          </w:tcPr>
          <w:p>
            <w:r>
              <w:t>OnInitialized()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>
              <w:t>Przy pierwszej inicjalizacji komponentu</w:t>
            </w:r>
          </w:p>
        </w:tc>
        <w:tc>
          <w:tcPr>
            <w:tcW w:type="dxa" w:w="2160"/>
          </w:tcPr>
          <w:p>
            <w:r>
              <w:t>Inicjalizacja danych lub ustawienie stanu początkowego. Wersja synchroniczna.</w:t>
            </w:r>
          </w:p>
        </w:tc>
      </w:tr>
      <w:tr>
        <w:tc>
          <w:tcPr>
            <w:tcW w:type="dxa" w:w="2160"/>
          </w:tcPr>
          <w:p>
            <w:r>
              <w:t>OnInitializedAsync()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Przy pierwszej inicjalizacji komponentu</w:t>
            </w:r>
          </w:p>
        </w:tc>
        <w:tc>
          <w:tcPr>
            <w:tcW w:type="dxa" w:w="2160"/>
          </w:tcPr>
          <w:p>
            <w:r>
              <w:t>Asynchroniczne pobieranie danych. Najczęściej używana metoda inicjalizacyjna.</w:t>
            </w:r>
          </w:p>
        </w:tc>
      </w:tr>
      <w:tr>
        <w:tc>
          <w:tcPr>
            <w:tcW w:type="dxa" w:w="2160"/>
          </w:tcPr>
          <w:p>
            <w:r>
              <w:t>OnParametersSet()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>
              <w:t>Gdy parametry komponentu się zmienią</w:t>
            </w:r>
          </w:p>
        </w:tc>
        <w:tc>
          <w:tcPr>
            <w:tcW w:type="dxa" w:w="2160"/>
          </w:tcPr>
          <w:p>
            <w:r>
              <w:t>Reakcja na zmianę wartości przekazanych przez rodzica. Wersja synchroniczna.</w:t>
            </w:r>
          </w:p>
        </w:tc>
      </w:tr>
      <w:tr>
        <w:tc>
          <w:tcPr>
            <w:tcW w:type="dxa" w:w="2160"/>
          </w:tcPr>
          <w:p>
            <w:r>
              <w:t>OnParametersSetAsync()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Gdy parametry komponentu się zmienią</w:t>
            </w:r>
          </w:p>
        </w:tc>
        <w:tc>
          <w:tcPr>
            <w:tcW w:type="dxa" w:w="2160"/>
          </w:tcPr>
          <w:p>
            <w:r>
              <w:t>Asynchroniczna wersja powyższej metody.</w:t>
            </w:r>
          </w:p>
        </w:tc>
      </w:tr>
      <w:tr>
        <w:tc>
          <w:tcPr>
            <w:tcW w:type="dxa" w:w="2160"/>
          </w:tcPr>
          <w:p>
            <w:r>
              <w:t>OnAfterRender(bool firstRender)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>
              <w:t>Po każdym renderowaniu komponentu</w:t>
            </w:r>
          </w:p>
        </w:tc>
        <w:tc>
          <w:tcPr>
            <w:tcW w:type="dxa" w:w="2160"/>
          </w:tcPr>
          <w:p>
            <w:r>
              <w:t>Wykonywanie logiki po renderowaniu, np. inicjalizacja JS.</w:t>
            </w:r>
          </w:p>
        </w:tc>
      </w:tr>
      <w:tr>
        <w:tc>
          <w:tcPr>
            <w:tcW w:type="dxa" w:w="2160"/>
          </w:tcPr>
          <w:p>
            <w:r>
              <w:t>OnAfterRenderAsync(bool firstRender)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Po każdym renderowaniu komponentu</w:t>
            </w:r>
          </w:p>
        </w:tc>
        <w:tc>
          <w:tcPr>
            <w:tcW w:type="dxa" w:w="2160"/>
          </w:tcPr>
          <w:p>
            <w:r>
              <w:t>Asynchroniczna wersja powyższej metody, często używana do interakcji z JS.</w:t>
            </w:r>
          </w:p>
        </w:tc>
      </w:tr>
      <w:tr>
        <w:tc>
          <w:tcPr>
            <w:tcW w:type="dxa" w:w="2160"/>
          </w:tcPr>
          <w:p>
            <w:r>
              <w:t>ShouldRender()</w:t>
            </w:r>
          </w:p>
        </w:tc>
        <w:tc>
          <w:tcPr>
            <w:tcW w:type="dxa" w:w="2160"/>
          </w:tcPr>
          <w:p>
            <w:r>
              <w:t>bool</w:t>
            </w:r>
          </w:p>
        </w:tc>
        <w:tc>
          <w:tcPr>
            <w:tcW w:type="dxa" w:w="2160"/>
          </w:tcPr>
          <w:p>
            <w:r>
              <w:t>Przed ponownym renderowaniem komponentu</w:t>
            </w:r>
          </w:p>
        </w:tc>
        <w:tc>
          <w:tcPr>
            <w:tcW w:type="dxa" w:w="2160"/>
          </w:tcPr>
          <w:p>
            <w:r>
              <w:t>Zwróć false, jeśli nie chcesz aby komponent został ponownie wyrenderowany.</w:t>
            </w:r>
          </w:p>
        </w:tc>
      </w:tr>
      <w:tr>
        <w:tc>
          <w:tcPr>
            <w:tcW w:type="dxa" w:w="2160"/>
          </w:tcPr>
          <w:p>
            <w:r>
              <w:t>StateHasChanged()</w:t>
            </w:r>
          </w:p>
        </w:tc>
        <w:tc>
          <w:tcPr>
            <w:tcW w:type="dxa" w:w="2160"/>
          </w:tcPr>
          <w:p>
            <w:r>
              <w:t>void</w:t>
            </w:r>
          </w:p>
        </w:tc>
        <w:tc>
          <w:tcPr>
            <w:tcW w:type="dxa" w:w="2160"/>
          </w:tcPr>
          <w:p>
            <w:r>
              <w:t>Ręczne wywołanie odświeżenia</w:t>
            </w:r>
          </w:p>
        </w:tc>
        <w:tc>
          <w:tcPr>
            <w:tcW w:type="dxa" w:w="2160"/>
          </w:tcPr>
          <w:p>
            <w:r>
              <w:t>Powoduje ponowne renderowanie komponentu po zmianie danych.</w:t>
            </w:r>
          </w:p>
        </w:tc>
      </w:tr>
    </w:tbl>
    <w:p>
      <w:r>
        <w:br w:type="page"/>
      </w:r>
    </w:p>
    <w:p>
      <w:pPr>
        <w:pStyle w:val="Heading2"/>
      </w:pPr>
      <w:r>
        <w:t>Dodatkowe informacje</w:t>
      </w:r>
    </w:p>
    <w:p>
      <w:r>
        <w:t>Metody OnInitialized, OnParametersSet oraz OnAfterRender występują w wersjach synchronicznych i asynchronicznych. Użycie wersji asynchronicznej (z dopiskiem Async) jest zalecane, gdy komponent musi pobrać dane lub wykonać operacje wymagające await.</w:t>
      </w:r>
    </w:p>
    <w:p>
      <w:r>
        <w:t xml:space="preserve">Wszystkie te metody można nadpisywać w komponencie przy użyciu słów kluczowych 'protected override', np.: </w:t>
        <w:br/>
        <w:br/>
        <w:t>protected override async Task OnInitializedAsync() { /* logika inicjalizacyjna */ 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