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9247" w14:textId="495C51B8" w:rsidR="00C76332" w:rsidRDefault="008B1B36" w:rsidP="008B1B36">
      <w:pPr>
        <w:pStyle w:val="1"/>
      </w:pPr>
      <w:bookmarkStart w:id="0" w:name="_Hlk119921400"/>
      <w:r>
        <w:rPr>
          <w:rFonts w:hint="eastAsia"/>
        </w:rPr>
        <w:t>第五章</w:t>
      </w:r>
      <w:r>
        <w:rPr>
          <w:rFonts w:hint="eastAsia"/>
        </w:rPr>
        <w:t xml:space="preserve"> </w:t>
      </w:r>
      <w:r>
        <w:rPr>
          <w:rFonts w:hint="eastAsia"/>
        </w:rPr>
        <w:t>遥感图像目视解译与制图</w:t>
      </w:r>
    </w:p>
    <w:p w14:paraId="75B7E7EB" w14:textId="327DB80B" w:rsidR="008B1B36" w:rsidRDefault="00893CF9" w:rsidP="008079DA">
      <w:pPr>
        <w:pStyle w:val="aa"/>
        <w:spacing w:before="156" w:after="156"/>
      </w:pPr>
      <w:r w:rsidRPr="008079DA">
        <w:rPr>
          <w:rFonts w:hint="eastAsia"/>
          <w:highlight w:val="yellow"/>
        </w:rPr>
        <w:t>遥感图像的目视解译</w:t>
      </w:r>
      <w:r w:rsidR="00763208">
        <w:rPr>
          <w:rFonts w:hint="eastAsia"/>
          <w:highlight w:val="yellow"/>
        </w:rPr>
        <w:t>基础</w:t>
      </w:r>
    </w:p>
    <w:p w14:paraId="76D96256" w14:textId="0B2873E1" w:rsidR="00893CF9" w:rsidRDefault="005C44B7" w:rsidP="008B1B36">
      <w:pPr>
        <w:ind w:firstLine="420"/>
      </w:pPr>
      <w:r w:rsidRPr="005C44B7">
        <w:rPr>
          <w:rFonts w:hint="eastAsia"/>
        </w:rPr>
        <w:t>遥感图像的目视解译，又称目视判读（解译</w:t>
      </w:r>
      <w:r w:rsidRPr="005C44B7">
        <w:rPr>
          <w:rFonts w:hint="eastAsia"/>
        </w:rPr>
        <w:t>,visual</w:t>
      </w:r>
      <w:r>
        <w:t xml:space="preserve"> </w:t>
      </w:r>
      <w:r w:rsidRPr="005C44B7">
        <w:rPr>
          <w:rFonts w:hint="eastAsia"/>
        </w:rPr>
        <w:t>interpretation</w:t>
      </w:r>
      <w:r w:rsidRPr="005C44B7">
        <w:rPr>
          <w:rFonts w:hint="eastAsia"/>
        </w:rPr>
        <w:t>）——判读者通过直接观察或借助判读仪器研究地物在遥感图像上反映的各种影像特征（如形状、大小、色彩、阴影、图型结构等），并通过地物间的相互关系推理分析，达到识别所需地物信息的过程。</w:t>
      </w:r>
    </w:p>
    <w:p w14:paraId="29F23091" w14:textId="2965FD4D" w:rsidR="005C44B7" w:rsidRPr="008079DA" w:rsidRDefault="005C44B7" w:rsidP="008B1B36">
      <w:pPr>
        <w:ind w:firstLine="422"/>
        <w:rPr>
          <w:b/>
        </w:rPr>
      </w:pPr>
      <w:r w:rsidRPr="008079DA">
        <w:rPr>
          <w:rFonts w:hint="eastAsia"/>
          <w:b/>
        </w:rPr>
        <w:t>其重要性</w:t>
      </w:r>
    </w:p>
    <w:p w14:paraId="48B32B2B" w14:textId="0083F7D6" w:rsidR="005C44B7" w:rsidRDefault="005C44B7" w:rsidP="008079DA">
      <w:pPr>
        <w:pStyle w:val="a5"/>
        <w:numPr>
          <w:ilvl w:val="0"/>
          <w:numId w:val="28"/>
        </w:numPr>
        <w:ind w:left="426" w:firstLineChars="0"/>
      </w:pPr>
      <w:r w:rsidRPr="005C44B7">
        <w:rPr>
          <w:rFonts w:hint="eastAsia"/>
        </w:rPr>
        <w:t>目视判读是信息社会中地学研究和遥感应用的一项基本技能。</w:t>
      </w:r>
    </w:p>
    <w:p w14:paraId="61C77893" w14:textId="7B67517D" w:rsidR="005C44B7" w:rsidRDefault="005C44B7" w:rsidP="008079DA">
      <w:pPr>
        <w:pStyle w:val="a5"/>
        <w:numPr>
          <w:ilvl w:val="0"/>
          <w:numId w:val="28"/>
        </w:numPr>
        <w:ind w:left="426" w:firstLineChars="0"/>
      </w:pPr>
      <w:r w:rsidRPr="005C44B7">
        <w:rPr>
          <w:rFonts w:hint="eastAsia"/>
        </w:rPr>
        <w:t>目视判读是遥感图像计算机判读发展的基础和起始点。</w:t>
      </w:r>
    </w:p>
    <w:p w14:paraId="45AE3101" w14:textId="1BA75FFE" w:rsidR="008079DA" w:rsidRDefault="008079DA" w:rsidP="008079DA">
      <w:pPr>
        <w:pStyle w:val="a5"/>
        <w:numPr>
          <w:ilvl w:val="0"/>
          <w:numId w:val="28"/>
        </w:numPr>
        <w:ind w:left="426" w:firstLineChars="0"/>
      </w:pPr>
      <w:r w:rsidRPr="008079DA">
        <w:rPr>
          <w:rFonts w:hint="eastAsia"/>
        </w:rPr>
        <w:t>遥感图像目视解译是遥感制图的重要环节。</w:t>
      </w:r>
    </w:p>
    <w:p w14:paraId="7F1A51D6" w14:textId="246B4EE0" w:rsidR="008079DA" w:rsidRDefault="008079DA" w:rsidP="008079DA">
      <w:pPr>
        <w:ind w:firstLineChars="0"/>
      </w:pPr>
    </w:p>
    <w:p w14:paraId="43BDA4E4" w14:textId="59928B41" w:rsidR="008079DA" w:rsidRPr="004B16F1" w:rsidRDefault="008079DA" w:rsidP="00360DDB">
      <w:pPr>
        <w:ind w:firstLineChars="0" w:firstLine="0"/>
        <w:rPr>
          <w:rFonts w:ascii="黑体" w:eastAsia="黑体" w:hAnsi="黑体"/>
        </w:rPr>
      </w:pPr>
      <w:r w:rsidRPr="004B16F1">
        <w:rPr>
          <w:rFonts w:ascii="黑体" w:eastAsia="黑体" w:hAnsi="黑体" w:hint="eastAsia"/>
        </w:rPr>
        <w:t>目标地物的特征</w:t>
      </w:r>
    </w:p>
    <w:p w14:paraId="1F5AE54D" w14:textId="47349CF9" w:rsidR="00763208" w:rsidRDefault="00763208" w:rsidP="00763208">
      <w:pPr>
        <w:pStyle w:val="a5"/>
        <w:numPr>
          <w:ilvl w:val="0"/>
          <w:numId w:val="29"/>
        </w:numPr>
        <w:ind w:firstLineChars="0"/>
      </w:pPr>
      <w:r w:rsidRPr="00763208">
        <w:rPr>
          <w:rFonts w:hint="eastAsia"/>
        </w:rPr>
        <w:t>色：指目标地物在遥感影像上的颜色，包括色调、颜色和阴影等。</w:t>
      </w:r>
    </w:p>
    <w:p w14:paraId="243A577B" w14:textId="04298088" w:rsidR="00763208" w:rsidRDefault="00763208" w:rsidP="00763208">
      <w:pPr>
        <w:pStyle w:val="a5"/>
        <w:numPr>
          <w:ilvl w:val="0"/>
          <w:numId w:val="29"/>
        </w:numPr>
        <w:ind w:firstLineChars="0"/>
      </w:pPr>
      <w:r w:rsidRPr="00763208">
        <w:rPr>
          <w:rFonts w:hint="eastAsia"/>
        </w:rPr>
        <w:t>形：指目标地物在遥感影像上的形状，包括形状、纹理、大小、图形等。</w:t>
      </w:r>
    </w:p>
    <w:p w14:paraId="15F82A85" w14:textId="201678E5" w:rsidR="00763208" w:rsidRDefault="00763208" w:rsidP="00793A29">
      <w:pPr>
        <w:pStyle w:val="a5"/>
        <w:numPr>
          <w:ilvl w:val="0"/>
          <w:numId w:val="29"/>
        </w:numPr>
        <w:ind w:firstLineChars="0"/>
      </w:pPr>
      <w:r w:rsidRPr="00763208">
        <w:rPr>
          <w:rFonts w:hint="eastAsia"/>
        </w:rPr>
        <w:t>位：指目标地物在遥感影像上的空间位置，包括目标地物分布的空间位置、相关布局</w:t>
      </w:r>
    </w:p>
    <w:p w14:paraId="4DFB4D9A" w14:textId="77777777" w:rsidR="00360DDB" w:rsidRDefault="00360DDB" w:rsidP="00360DDB">
      <w:pPr>
        <w:ind w:firstLineChars="0" w:firstLine="0"/>
        <w:rPr>
          <w:rFonts w:ascii="黑体" w:eastAsia="黑体" w:hAnsi="黑体"/>
        </w:rPr>
      </w:pPr>
    </w:p>
    <w:p w14:paraId="3BDB0DEB" w14:textId="356710C6" w:rsidR="00763208" w:rsidRPr="004B16F1" w:rsidRDefault="004B16F1" w:rsidP="00360DDB">
      <w:pPr>
        <w:ind w:firstLineChars="0" w:firstLine="0"/>
        <w:rPr>
          <w:rFonts w:ascii="黑体" w:eastAsia="黑体" w:hAnsi="黑体"/>
        </w:rPr>
      </w:pPr>
      <w:r w:rsidRPr="004B16F1">
        <w:rPr>
          <w:rFonts w:ascii="黑体" w:eastAsia="黑体" w:hAnsi="黑体" w:hint="eastAsia"/>
        </w:rPr>
        <w:t>目标地物的识别特征</w:t>
      </w:r>
    </w:p>
    <w:p w14:paraId="140C31B6" w14:textId="77777777" w:rsidR="004B16F1" w:rsidRDefault="004B16F1" w:rsidP="004B16F1">
      <w:pPr>
        <w:pStyle w:val="a5"/>
        <w:numPr>
          <w:ilvl w:val="0"/>
          <w:numId w:val="30"/>
        </w:numPr>
        <w:ind w:left="567" w:firstLineChars="0" w:hanging="425"/>
      </w:pPr>
      <w:r w:rsidRPr="000A5082">
        <w:rPr>
          <w:rFonts w:hint="eastAsia"/>
          <w:b/>
        </w:rPr>
        <w:t>色调：</w:t>
      </w:r>
      <w:r>
        <w:rPr>
          <w:rFonts w:hint="eastAsia"/>
        </w:rPr>
        <w:t>全色遥感图像中从白到黑的密度比例叫色调（也叫灰度）</w:t>
      </w:r>
    </w:p>
    <w:p w14:paraId="34DA2155" w14:textId="77777777" w:rsidR="004B16F1" w:rsidRDefault="004B16F1" w:rsidP="004B16F1">
      <w:pPr>
        <w:pStyle w:val="a5"/>
        <w:numPr>
          <w:ilvl w:val="0"/>
          <w:numId w:val="30"/>
        </w:numPr>
        <w:ind w:left="567" w:firstLineChars="0" w:hanging="425"/>
      </w:pPr>
      <w:r w:rsidRPr="000A5082">
        <w:rPr>
          <w:rFonts w:hint="eastAsia"/>
          <w:b/>
        </w:rPr>
        <w:t>颜色：</w:t>
      </w:r>
      <w:r>
        <w:rPr>
          <w:rFonts w:hint="eastAsia"/>
        </w:rPr>
        <w:t>是彩色图像中目标地物识别的基本标志。</w:t>
      </w:r>
    </w:p>
    <w:p w14:paraId="4D4DC650" w14:textId="00845C06" w:rsidR="004B16F1" w:rsidRDefault="004B16F1" w:rsidP="004B16F1">
      <w:pPr>
        <w:pStyle w:val="a5"/>
        <w:numPr>
          <w:ilvl w:val="0"/>
          <w:numId w:val="30"/>
        </w:numPr>
        <w:ind w:left="567" w:firstLineChars="0" w:hanging="425"/>
      </w:pPr>
      <w:r w:rsidRPr="000A5082">
        <w:rPr>
          <w:rFonts w:hint="eastAsia"/>
          <w:b/>
        </w:rPr>
        <w:t>阴影：</w:t>
      </w:r>
      <w:r>
        <w:rPr>
          <w:rFonts w:hint="eastAsia"/>
        </w:rPr>
        <w:t>是图像上光束被地物遮挡而产</w:t>
      </w:r>
      <w:bookmarkStart w:id="1" w:name="_GoBack"/>
      <w:bookmarkEnd w:id="1"/>
      <w:r>
        <w:rPr>
          <w:rFonts w:hint="eastAsia"/>
        </w:rPr>
        <w:t>生的地物的影子。据此可判读物体性质或高度。</w:t>
      </w:r>
    </w:p>
    <w:p w14:paraId="7D5F5F3F" w14:textId="386B26C8" w:rsidR="004B16F1" w:rsidRDefault="004B16F1" w:rsidP="004B16F1">
      <w:pPr>
        <w:pStyle w:val="a5"/>
        <w:numPr>
          <w:ilvl w:val="0"/>
          <w:numId w:val="30"/>
        </w:numPr>
        <w:ind w:left="567" w:firstLineChars="0" w:hanging="425"/>
      </w:pPr>
      <w:r w:rsidRPr="000A5082">
        <w:rPr>
          <w:rFonts w:hint="eastAsia"/>
          <w:b/>
        </w:rPr>
        <w:t>形状：</w:t>
      </w:r>
      <w:r>
        <w:rPr>
          <w:rFonts w:hint="eastAsia"/>
        </w:rPr>
        <w:t>目标地物在遥感图像上呈现的外部轮廓。</w:t>
      </w:r>
    </w:p>
    <w:p w14:paraId="3F6D26B8" w14:textId="3C56AE5F" w:rsidR="004B16F1" w:rsidRDefault="004B16F1" w:rsidP="004B16F1">
      <w:pPr>
        <w:pStyle w:val="a5"/>
        <w:numPr>
          <w:ilvl w:val="0"/>
          <w:numId w:val="30"/>
        </w:numPr>
        <w:ind w:left="567" w:firstLineChars="0" w:hanging="425"/>
      </w:pPr>
      <w:r w:rsidRPr="000A5082">
        <w:rPr>
          <w:rFonts w:hint="eastAsia"/>
          <w:b/>
        </w:rPr>
        <w:t>纹理：</w:t>
      </w:r>
      <w:r>
        <w:rPr>
          <w:rFonts w:hint="eastAsia"/>
        </w:rPr>
        <w:t>也叫内部结构，指遥感图像中目标地物内部色调有规则变化造成的影像结构。</w:t>
      </w:r>
    </w:p>
    <w:p w14:paraId="31BF3E5B" w14:textId="27F3BECD" w:rsidR="004B16F1" w:rsidRDefault="004B16F1" w:rsidP="004B16F1">
      <w:pPr>
        <w:pStyle w:val="a5"/>
        <w:numPr>
          <w:ilvl w:val="0"/>
          <w:numId w:val="30"/>
        </w:numPr>
        <w:ind w:left="567" w:firstLineChars="0" w:hanging="425"/>
      </w:pPr>
      <w:r w:rsidRPr="000A5082">
        <w:rPr>
          <w:rFonts w:hint="eastAsia"/>
          <w:b/>
        </w:rPr>
        <w:t>大小：</w:t>
      </w:r>
      <w:r>
        <w:rPr>
          <w:rFonts w:hint="eastAsia"/>
        </w:rPr>
        <w:t>指遥感图像上目标物的形状、面积与体积的度量。</w:t>
      </w:r>
    </w:p>
    <w:p w14:paraId="6132E51C" w14:textId="05058953" w:rsidR="004B16F1" w:rsidRDefault="004B16F1" w:rsidP="004B16F1">
      <w:pPr>
        <w:pStyle w:val="a5"/>
        <w:numPr>
          <w:ilvl w:val="0"/>
          <w:numId w:val="30"/>
        </w:numPr>
        <w:ind w:left="567" w:firstLineChars="0" w:hanging="425"/>
      </w:pPr>
      <w:r w:rsidRPr="000A5082">
        <w:rPr>
          <w:rFonts w:hint="eastAsia"/>
          <w:b/>
        </w:rPr>
        <w:t>位置：</w:t>
      </w:r>
      <w:r>
        <w:rPr>
          <w:rFonts w:hint="eastAsia"/>
        </w:rPr>
        <w:t>指目标地物分布的地点。</w:t>
      </w:r>
    </w:p>
    <w:p w14:paraId="37D0E4F8" w14:textId="6DBF711B" w:rsidR="004B16F1" w:rsidRDefault="004B16F1" w:rsidP="004B16F1">
      <w:pPr>
        <w:pStyle w:val="a5"/>
        <w:numPr>
          <w:ilvl w:val="0"/>
          <w:numId w:val="30"/>
        </w:numPr>
        <w:ind w:left="567" w:firstLineChars="0" w:hanging="425"/>
      </w:pPr>
      <w:r w:rsidRPr="000A5082">
        <w:rPr>
          <w:rFonts w:hint="eastAsia"/>
          <w:b/>
        </w:rPr>
        <w:t>图形：</w:t>
      </w:r>
      <w:r>
        <w:rPr>
          <w:rFonts w:hint="eastAsia"/>
        </w:rPr>
        <w:t>目标地物有规律的排列而成的图形结构。</w:t>
      </w:r>
    </w:p>
    <w:p w14:paraId="17E26B92" w14:textId="7C7C41C2" w:rsidR="004B16F1" w:rsidRDefault="004B16F1" w:rsidP="004B16F1">
      <w:pPr>
        <w:pStyle w:val="a5"/>
        <w:numPr>
          <w:ilvl w:val="0"/>
          <w:numId w:val="30"/>
        </w:numPr>
        <w:ind w:left="567" w:firstLineChars="0" w:hanging="425"/>
      </w:pPr>
      <w:r w:rsidRPr="000A5082">
        <w:rPr>
          <w:rFonts w:hint="eastAsia"/>
          <w:b/>
        </w:rPr>
        <w:t>相关布局：</w:t>
      </w:r>
      <w:r>
        <w:rPr>
          <w:rFonts w:hint="eastAsia"/>
        </w:rPr>
        <w:t>多个目标地物之间的空间配置关系</w:t>
      </w:r>
    </w:p>
    <w:p w14:paraId="476C152A" w14:textId="77777777" w:rsidR="009370DF" w:rsidRDefault="009370DF" w:rsidP="009370DF">
      <w:pPr>
        <w:ind w:firstLineChars="0" w:firstLine="0"/>
      </w:pPr>
    </w:p>
    <w:p w14:paraId="1323CF54" w14:textId="420BFA82" w:rsidR="009370DF" w:rsidRPr="00334136" w:rsidRDefault="009370DF" w:rsidP="00334136">
      <w:pPr>
        <w:pStyle w:val="11"/>
        <w:rPr>
          <w:b/>
        </w:rPr>
      </w:pPr>
      <w:r w:rsidRPr="00334136">
        <w:rPr>
          <w:rFonts w:hint="eastAsia"/>
          <w:b/>
        </w:rPr>
        <w:t>黑白全色像片的判读</w:t>
      </w:r>
    </w:p>
    <w:p w14:paraId="5FD57F8A" w14:textId="00B95B7C" w:rsidR="009370DF" w:rsidRDefault="009370DF" w:rsidP="005128B8">
      <w:pPr>
        <w:pStyle w:val="11"/>
        <w:numPr>
          <w:ilvl w:val="0"/>
          <w:numId w:val="31"/>
        </w:numPr>
        <w:ind w:left="426" w:hanging="426"/>
      </w:pPr>
      <w:r>
        <w:rPr>
          <w:rFonts w:hint="eastAsia"/>
        </w:rPr>
        <w:t>目标地物的形状和色调是识别地物的主要标志</w:t>
      </w:r>
    </w:p>
    <w:p w14:paraId="0E974697" w14:textId="66C639CB" w:rsidR="009370DF" w:rsidRDefault="009370DF" w:rsidP="005128B8">
      <w:pPr>
        <w:pStyle w:val="11"/>
        <w:numPr>
          <w:ilvl w:val="0"/>
          <w:numId w:val="31"/>
        </w:numPr>
        <w:ind w:left="426" w:hanging="426"/>
      </w:pPr>
      <w:r>
        <w:rPr>
          <w:rFonts w:hint="eastAsia"/>
        </w:rPr>
        <w:t>在可见光范围内反射率高的地物，在航空像片上呈淡白色调，反射率低的地物，呈暗色调</w:t>
      </w:r>
    </w:p>
    <w:p w14:paraId="5C7BC374" w14:textId="51C6CB6D" w:rsidR="009370DF" w:rsidRPr="00334136" w:rsidRDefault="009370DF" w:rsidP="00334136">
      <w:pPr>
        <w:pStyle w:val="11"/>
        <w:rPr>
          <w:b/>
        </w:rPr>
      </w:pPr>
      <w:r w:rsidRPr="00334136">
        <w:rPr>
          <w:rFonts w:hint="eastAsia"/>
          <w:b/>
        </w:rPr>
        <w:t>黑白红外像片的判读</w:t>
      </w:r>
    </w:p>
    <w:p w14:paraId="45F3AD22" w14:textId="2179A341" w:rsidR="009370DF" w:rsidRDefault="009370DF" w:rsidP="00334136">
      <w:pPr>
        <w:pStyle w:val="11"/>
      </w:pPr>
      <w:r>
        <w:rPr>
          <w:rFonts w:hint="eastAsia"/>
        </w:rPr>
        <w:t>物体在近红外波段的反射率高低决定了地物在黑白红外像片上影像色调的深浅</w:t>
      </w:r>
    </w:p>
    <w:p w14:paraId="094C7EBD" w14:textId="373687FE" w:rsidR="00334136" w:rsidRPr="005128B8" w:rsidRDefault="00334136" w:rsidP="00334136">
      <w:pPr>
        <w:pStyle w:val="11"/>
        <w:rPr>
          <w:b/>
        </w:rPr>
      </w:pPr>
      <w:r w:rsidRPr="005128B8">
        <w:rPr>
          <w:rFonts w:hint="eastAsia"/>
          <w:b/>
        </w:rPr>
        <w:t>彩色像片的判读</w:t>
      </w:r>
    </w:p>
    <w:p w14:paraId="0E2C2205" w14:textId="5B115EC1" w:rsidR="00334136" w:rsidRDefault="00334136" w:rsidP="005128B8">
      <w:pPr>
        <w:pStyle w:val="11"/>
        <w:numPr>
          <w:ilvl w:val="0"/>
          <w:numId w:val="32"/>
        </w:numPr>
      </w:pPr>
      <w:r>
        <w:rPr>
          <w:rFonts w:hint="eastAsia"/>
        </w:rPr>
        <w:lastRenderedPageBreak/>
        <w:t>天然彩色像片：地物类型间的细微差异可通过色彩的变化表现出来；形状特征的识别类似于可见光黑白像片</w:t>
      </w:r>
    </w:p>
    <w:p w14:paraId="6303F7E0" w14:textId="394E1510" w:rsidR="00334136" w:rsidRDefault="00334136" w:rsidP="005128B8">
      <w:pPr>
        <w:pStyle w:val="11"/>
        <w:numPr>
          <w:ilvl w:val="0"/>
          <w:numId w:val="32"/>
        </w:numPr>
      </w:pPr>
      <w:r>
        <w:rPr>
          <w:rFonts w:hint="eastAsia"/>
        </w:rPr>
        <w:t>彩色红外像片：根据地物的反射光谱特性</w:t>
      </w:r>
    </w:p>
    <w:p w14:paraId="038AD9C3" w14:textId="00D0C43E" w:rsidR="005D226F" w:rsidRDefault="005D226F" w:rsidP="005D226F">
      <w:pPr>
        <w:ind w:firstLine="420"/>
      </w:pPr>
    </w:p>
    <w:p w14:paraId="64052D0D" w14:textId="5C28E26C" w:rsidR="005D226F" w:rsidRDefault="005D226F" w:rsidP="000A5082">
      <w:pPr>
        <w:pStyle w:val="aa"/>
        <w:spacing w:before="156" w:after="156"/>
      </w:pPr>
      <w:r w:rsidRPr="000A5082">
        <w:rPr>
          <w:rFonts w:hint="eastAsia"/>
          <w:highlight w:val="yellow"/>
        </w:rPr>
        <w:t>遥感摄影像片的解译</w:t>
      </w:r>
    </w:p>
    <w:p w14:paraId="6AEA6EC4" w14:textId="18985DE4" w:rsidR="00641CCF" w:rsidRPr="00480A71" w:rsidRDefault="00641CCF" w:rsidP="000D29F7">
      <w:pPr>
        <w:ind w:firstLineChars="0" w:firstLine="0"/>
        <w:rPr>
          <w:rFonts w:ascii="黑体" w:eastAsia="黑体" w:hAnsi="黑体"/>
        </w:rPr>
      </w:pPr>
      <w:r w:rsidRPr="00480A71">
        <w:rPr>
          <w:rFonts w:ascii="黑体" w:eastAsia="黑体" w:hAnsi="黑体" w:hint="eastAsia"/>
        </w:rPr>
        <w:t>摄影像片的特点</w:t>
      </w:r>
    </w:p>
    <w:p w14:paraId="57CDABF6" w14:textId="6E4F20BF" w:rsidR="00641CCF" w:rsidRDefault="00641CCF" w:rsidP="00641CCF">
      <w:pPr>
        <w:pStyle w:val="a5"/>
        <w:numPr>
          <w:ilvl w:val="0"/>
          <w:numId w:val="33"/>
        </w:numPr>
        <w:ind w:firstLineChars="0"/>
      </w:pPr>
      <w:r>
        <w:rPr>
          <w:rFonts w:hint="eastAsia"/>
        </w:rPr>
        <w:t>绝大部分为大中比例尺像片</w:t>
      </w:r>
      <w:r>
        <w:t>,</w:t>
      </w:r>
      <w:r>
        <w:rPr>
          <w:rFonts w:hint="eastAsia"/>
        </w:rPr>
        <w:t>各种人造地物的形状特征与图型结构清晰可辨；</w:t>
      </w:r>
    </w:p>
    <w:p w14:paraId="2783343C" w14:textId="2048E268" w:rsidR="005D226F" w:rsidRDefault="00641CCF" w:rsidP="00641CCF">
      <w:pPr>
        <w:pStyle w:val="a5"/>
        <w:numPr>
          <w:ilvl w:val="0"/>
          <w:numId w:val="33"/>
        </w:numPr>
        <w:ind w:firstLineChars="0"/>
      </w:pPr>
      <w:r>
        <w:rPr>
          <w:rFonts w:hint="eastAsia"/>
        </w:rPr>
        <w:t>绝大部分采用中心投影，可以看到地物的顶部轮廓。</w:t>
      </w:r>
    </w:p>
    <w:p w14:paraId="07656C6A" w14:textId="77777777" w:rsidR="009E0711" w:rsidRDefault="009E0711" w:rsidP="000D29F7">
      <w:pPr>
        <w:ind w:firstLineChars="0" w:firstLine="0"/>
        <w:rPr>
          <w:rFonts w:ascii="黑体" w:eastAsia="黑体" w:hAnsi="黑体"/>
        </w:rPr>
      </w:pPr>
    </w:p>
    <w:p w14:paraId="7BC8A149" w14:textId="38BEB653" w:rsidR="00641CCF" w:rsidRPr="00480A71" w:rsidRDefault="00641CCF" w:rsidP="000D29F7">
      <w:pPr>
        <w:ind w:firstLineChars="0" w:firstLine="0"/>
        <w:rPr>
          <w:rFonts w:ascii="黑体" w:eastAsia="黑体" w:hAnsi="黑体"/>
        </w:rPr>
      </w:pPr>
      <w:r w:rsidRPr="00480A71">
        <w:rPr>
          <w:rFonts w:ascii="黑体" w:eastAsia="黑体" w:hAnsi="黑体" w:hint="eastAsia"/>
        </w:rPr>
        <w:t>摄影像片的解译标志</w:t>
      </w:r>
    </w:p>
    <w:p w14:paraId="156C5308" w14:textId="6839D08C" w:rsidR="00641CCF" w:rsidRDefault="00641CCF" w:rsidP="00641CCF">
      <w:pPr>
        <w:ind w:firstLine="420"/>
      </w:pPr>
      <w:r w:rsidRPr="00641CCF">
        <w:rPr>
          <w:rFonts w:hint="eastAsia"/>
        </w:rPr>
        <w:t>解译标志又称判读标志，指能够反映和表现目标地物信息的遥感影像各种特征，这些特征能够帮助解译者识别遥感图像上目标地物或现象。</w:t>
      </w:r>
    </w:p>
    <w:p w14:paraId="0D027C3B" w14:textId="3E8136F3" w:rsidR="000A5082" w:rsidRPr="00480A71" w:rsidRDefault="006E69DE" w:rsidP="00641CCF">
      <w:pPr>
        <w:ind w:firstLine="420"/>
        <w:rPr>
          <w:rFonts w:ascii="黑体" w:eastAsia="黑体" w:hAnsi="黑体"/>
        </w:rPr>
      </w:pPr>
      <w:r w:rsidRPr="00480A71">
        <w:rPr>
          <w:rFonts w:ascii="黑体" w:eastAsia="黑体" w:hAnsi="黑体" w:hint="eastAsia"/>
        </w:rPr>
        <w:t>直接判读标志</w:t>
      </w:r>
    </w:p>
    <w:p w14:paraId="7E25E748" w14:textId="359C718B" w:rsidR="006E69DE" w:rsidRDefault="006E69DE" w:rsidP="00641CCF">
      <w:pPr>
        <w:ind w:firstLine="420"/>
      </w:pPr>
      <w:r w:rsidRPr="006E69DE">
        <w:rPr>
          <w:rFonts w:hint="eastAsia"/>
        </w:rPr>
        <w:t>能够直接反映和表现目标地物信息的遥感图像的各种特征，解译者利用直接解译标志可以直观识别遥感图像上的目标地物。</w:t>
      </w:r>
    </w:p>
    <w:p w14:paraId="6CD3665C" w14:textId="5645C187" w:rsidR="006E69DE" w:rsidRDefault="006E69DE" w:rsidP="0029353E">
      <w:pPr>
        <w:pStyle w:val="a5"/>
        <w:numPr>
          <w:ilvl w:val="0"/>
          <w:numId w:val="36"/>
        </w:numPr>
        <w:ind w:firstLineChars="0"/>
      </w:pPr>
      <w:r w:rsidRPr="0029353E">
        <w:rPr>
          <w:rFonts w:hint="eastAsia"/>
          <w:b/>
        </w:rPr>
        <w:t>色调：</w:t>
      </w:r>
      <w:r w:rsidRPr="006E69DE">
        <w:rPr>
          <w:rFonts w:hint="eastAsia"/>
        </w:rPr>
        <w:t>全色遥感图像中从白到黑的密度比例叫色调（也叫灰度）；</w:t>
      </w:r>
    </w:p>
    <w:p w14:paraId="4DBCAB86" w14:textId="17FE357D" w:rsidR="006E69DE" w:rsidRDefault="006E69DE" w:rsidP="0029353E">
      <w:pPr>
        <w:pStyle w:val="a5"/>
        <w:numPr>
          <w:ilvl w:val="0"/>
          <w:numId w:val="36"/>
        </w:numPr>
        <w:ind w:firstLineChars="0"/>
      </w:pPr>
      <w:r w:rsidRPr="0029353E">
        <w:rPr>
          <w:rFonts w:hint="eastAsia"/>
          <w:b/>
        </w:rPr>
        <w:t>颜色：</w:t>
      </w:r>
      <w:r w:rsidRPr="006E69DE">
        <w:rPr>
          <w:rFonts w:hint="eastAsia"/>
        </w:rPr>
        <w:t>是彩色图像中目标地物识别的基本标志</w:t>
      </w:r>
      <w:r w:rsidRPr="006E69DE">
        <w:rPr>
          <w:rFonts w:hint="eastAsia"/>
        </w:rPr>
        <w:t>,</w:t>
      </w:r>
      <w:r w:rsidRPr="006E69DE">
        <w:rPr>
          <w:rFonts w:hint="eastAsia"/>
        </w:rPr>
        <w:t>地物不同颜色的差异或色彩深浅的差异可用于识别地物。色调与颜色都是地物波谱在图像上的表现。</w:t>
      </w:r>
    </w:p>
    <w:p w14:paraId="4CBFA92B" w14:textId="77777777" w:rsidR="0029353E" w:rsidRDefault="006E69DE" w:rsidP="0029353E">
      <w:pPr>
        <w:pStyle w:val="a5"/>
        <w:numPr>
          <w:ilvl w:val="0"/>
          <w:numId w:val="36"/>
        </w:numPr>
        <w:ind w:firstLineChars="0"/>
      </w:pPr>
      <w:r w:rsidRPr="0029353E">
        <w:rPr>
          <w:rFonts w:hint="eastAsia"/>
          <w:b/>
        </w:rPr>
        <w:t>阴影：</w:t>
      </w:r>
      <w:r w:rsidRPr="006E69DE">
        <w:rPr>
          <w:rFonts w:hint="eastAsia"/>
        </w:rPr>
        <w:t>是图像上光束被地物遮挡而产生的地物的影子。据此可判读物体性质或高度。</w:t>
      </w:r>
      <w:r w:rsidR="0029353E">
        <w:rPr>
          <w:rFonts w:hint="eastAsia"/>
        </w:rPr>
        <w:t xml:space="preserve"> </w:t>
      </w:r>
      <w:r w:rsidR="0029353E">
        <w:t xml:space="preserve"> </w:t>
      </w:r>
    </w:p>
    <w:p w14:paraId="4AF04685" w14:textId="1066A474" w:rsidR="0029353E" w:rsidRDefault="006E69DE" w:rsidP="0029353E">
      <w:pPr>
        <w:pStyle w:val="a5"/>
        <w:numPr>
          <w:ilvl w:val="1"/>
          <w:numId w:val="36"/>
        </w:numPr>
        <w:ind w:firstLineChars="0"/>
      </w:pPr>
      <w:r w:rsidRPr="006E69DE">
        <w:rPr>
          <w:rFonts w:hint="eastAsia"/>
        </w:rPr>
        <w:t>本影：是地物未被太阳照射到的部分在像片上的构像。有助于获得地物的立体感。</w:t>
      </w:r>
    </w:p>
    <w:p w14:paraId="690E8582" w14:textId="4850483E" w:rsidR="00480A71" w:rsidRDefault="006E69DE" w:rsidP="0029353E">
      <w:pPr>
        <w:pStyle w:val="a5"/>
        <w:numPr>
          <w:ilvl w:val="1"/>
          <w:numId w:val="36"/>
        </w:numPr>
        <w:ind w:firstLineChars="0"/>
      </w:pPr>
      <w:r w:rsidRPr="006E69DE">
        <w:rPr>
          <w:rFonts w:hint="eastAsia"/>
        </w:rPr>
        <w:t>落影：是阳光直接照射物体时，物体投在地面上的影子在像片上的构像。</w:t>
      </w:r>
    </w:p>
    <w:p w14:paraId="0B4F8ED7" w14:textId="17D8E482" w:rsidR="006E69DE" w:rsidRDefault="006E69DE" w:rsidP="0029353E">
      <w:pPr>
        <w:pStyle w:val="a5"/>
        <w:numPr>
          <w:ilvl w:val="0"/>
          <w:numId w:val="36"/>
        </w:numPr>
        <w:ind w:firstLineChars="0"/>
      </w:pPr>
      <w:r w:rsidRPr="0029353E">
        <w:rPr>
          <w:rFonts w:hint="eastAsia"/>
          <w:b/>
        </w:rPr>
        <w:t>形状</w:t>
      </w:r>
      <w:r w:rsidRPr="006E69DE">
        <w:rPr>
          <w:rFonts w:hint="eastAsia"/>
        </w:rPr>
        <w:t>：目标地物在遥感图像上呈现的外部轮廓。人造地物具有规则的几何外形和清晰的边界，自然地物具有不规则的外形和规则的边界</w:t>
      </w:r>
    </w:p>
    <w:p w14:paraId="7034DC34" w14:textId="4EB3C578" w:rsidR="00480A71" w:rsidRDefault="00480A71" w:rsidP="0029353E">
      <w:pPr>
        <w:pStyle w:val="a5"/>
        <w:numPr>
          <w:ilvl w:val="0"/>
          <w:numId w:val="36"/>
        </w:numPr>
        <w:ind w:firstLineChars="0"/>
      </w:pPr>
      <w:r w:rsidRPr="0029353E">
        <w:rPr>
          <w:rFonts w:hint="eastAsia"/>
          <w:b/>
        </w:rPr>
        <w:t>纹理</w:t>
      </w:r>
      <w:r w:rsidRPr="00480A71">
        <w:rPr>
          <w:rFonts w:hint="eastAsia"/>
        </w:rPr>
        <w:t>：通过色调或颜色变化表现的细纹或细小的图案。这种细纹或细小的图案在某一确定的图像区域中以一定的规律重复出现。可揭示地物的细部结构或内部细小的物体。</w:t>
      </w:r>
    </w:p>
    <w:p w14:paraId="4C61FD64" w14:textId="749D0A64" w:rsidR="00480A71" w:rsidRDefault="00480A71" w:rsidP="0029353E">
      <w:pPr>
        <w:pStyle w:val="a5"/>
        <w:numPr>
          <w:ilvl w:val="0"/>
          <w:numId w:val="36"/>
        </w:numPr>
        <w:ind w:firstLineChars="0"/>
      </w:pPr>
      <w:r w:rsidRPr="0029353E">
        <w:rPr>
          <w:rFonts w:hint="eastAsia"/>
          <w:b/>
        </w:rPr>
        <w:t>大小</w:t>
      </w:r>
      <w:r w:rsidRPr="00480A71">
        <w:rPr>
          <w:rFonts w:hint="eastAsia"/>
        </w:rPr>
        <w:t>：指遥感图像上目标物的形状、面积与体积的度量。</w:t>
      </w:r>
    </w:p>
    <w:p w14:paraId="2D081FA0" w14:textId="0E1844EB" w:rsidR="00480A71" w:rsidRDefault="00480A71" w:rsidP="0029353E">
      <w:pPr>
        <w:pStyle w:val="a5"/>
        <w:numPr>
          <w:ilvl w:val="0"/>
          <w:numId w:val="36"/>
        </w:numPr>
        <w:ind w:firstLineChars="0"/>
      </w:pPr>
      <w:r w:rsidRPr="0029353E">
        <w:rPr>
          <w:rFonts w:hint="eastAsia"/>
          <w:b/>
        </w:rPr>
        <w:t>位置</w:t>
      </w:r>
      <w:r w:rsidRPr="00480A71">
        <w:rPr>
          <w:rFonts w:hint="eastAsia"/>
        </w:rPr>
        <w:t>：指目标地物分布的地点。</w:t>
      </w:r>
    </w:p>
    <w:p w14:paraId="378FABF6" w14:textId="3124D1F2" w:rsidR="00480A71" w:rsidRDefault="00480A71" w:rsidP="0029353E">
      <w:pPr>
        <w:pStyle w:val="a5"/>
        <w:numPr>
          <w:ilvl w:val="0"/>
          <w:numId w:val="36"/>
        </w:numPr>
        <w:ind w:firstLineChars="0"/>
      </w:pPr>
      <w:r w:rsidRPr="0029353E">
        <w:rPr>
          <w:rFonts w:hint="eastAsia"/>
          <w:b/>
        </w:rPr>
        <w:t>图形</w:t>
      </w:r>
      <w:r w:rsidRPr="00480A71">
        <w:rPr>
          <w:rFonts w:hint="eastAsia"/>
        </w:rPr>
        <w:t>：目标地物有规律的排列而成的图形结构。是目标地物以一定规律排列而成的图型结构。揭示了不同地物间的内在联系。</w:t>
      </w:r>
    </w:p>
    <w:p w14:paraId="6C970176" w14:textId="08D96E71" w:rsidR="000D29F7" w:rsidRPr="000D29F7" w:rsidRDefault="000D29F7" w:rsidP="00360DDB">
      <w:pPr>
        <w:ind w:firstLineChars="0" w:firstLine="0"/>
        <w:rPr>
          <w:rFonts w:ascii="黑体" w:eastAsia="黑体" w:hAnsi="黑体"/>
        </w:rPr>
      </w:pPr>
      <w:r w:rsidRPr="000D29F7">
        <w:rPr>
          <w:rFonts w:ascii="黑体" w:eastAsia="黑体" w:hAnsi="黑体" w:hint="eastAsia"/>
        </w:rPr>
        <w:t>间接判读标志</w:t>
      </w:r>
    </w:p>
    <w:p w14:paraId="186EA365" w14:textId="4F77226B" w:rsidR="000D29F7" w:rsidRDefault="000D29F7" w:rsidP="000D29F7">
      <w:pPr>
        <w:ind w:firstLine="420"/>
      </w:pPr>
      <w:r w:rsidRPr="000D29F7">
        <w:rPr>
          <w:rFonts w:hint="eastAsia"/>
        </w:rPr>
        <w:t>能够间接反映和表现目标地物信息的遥感图像的各种特征，借助它可以推断与</w:t>
      </w:r>
      <w:proofErr w:type="gramStart"/>
      <w:r w:rsidRPr="000D29F7">
        <w:rPr>
          <w:rFonts w:hint="eastAsia"/>
        </w:rPr>
        <w:t>某地物</w:t>
      </w:r>
      <w:proofErr w:type="gramEnd"/>
      <w:r w:rsidRPr="000D29F7">
        <w:rPr>
          <w:rFonts w:hint="eastAsia"/>
        </w:rPr>
        <w:t>属性相关的其它现象。</w:t>
      </w:r>
    </w:p>
    <w:p w14:paraId="104BD2FE" w14:textId="5BA19D7F" w:rsidR="000D29F7" w:rsidRDefault="000D29F7" w:rsidP="000D29F7">
      <w:pPr>
        <w:pStyle w:val="a5"/>
        <w:numPr>
          <w:ilvl w:val="0"/>
          <w:numId w:val="37"/>
        </w:numPr>
        <w:ind w:firstLineChars="0"/>
      </w:pPr>
      <w:r w:rsidRPr="000D29F7">
        <w:rPr>
          <w:rFonts w:hint="eastAsia"/>
        </w:rPr>
        <w:t>目标地物与其相关指示特征</w:t>
      </w:r>
    </w:p>
    <w:p w14:paraId="79EA673D" w14:textId="6223F9A9" w:rsidR="000D29F7" w:rsidRDefault="000D29F7" w:rsidP="000D29F7">
      <w:pPr>
        <w:pStyle w:val="a5"/>
        <w:numPr>
          <w:ilvl w:val="0"/>
          <w:numId w:val="37"/>
        </w:numPr>
        <w:ind w:firstLineChars="0"/>
      </w:pPr>
      <w:r w:rsidRPr="000D29F7">
        <w:rPr>
          <w:rFonts w:hint="eastAsia"/>
        </w:rPr>
        <w:lastRenderedPageBreak/>
        <w:t>地物及与环境的关系</w:t>
      </w:r>
    </w:p>
    <w:p w14:paraId="2870336C" w14:textId="4C04689F" w:rsidR="000D29F7" w:rsidRDefault="000D29F7" w:rsidP="000D29F7">
      <w:pPr>
        <w:pStyle w:val="a5"/>
        <w:numPr>
          <w:ilvl w:val="0"/>
          <w:numId w:val="37"/>
        </w:numPr>
        <w:ind w:firstLineChars="0"/>
      </w:pPr>
      <w:r w:rsidRPr="000D29F7">
        <w:rPr>
          <w:rFonts w:hint="eastAsia"/>
        </w:rPr>
        <w:t>目标地物与成像时间的关系</w:t>
      </w:r>
    </w:p>
    <w:tbl>
      <w:tblPr>
        <w:tblpPr w:leftFromText="180" w:rightFromText="180" w:vertAnchor="page" w:horzAnchor="margin" w:tblpY="2538"/>
        <w:tblW w:w="8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544"/>
        <w:gridCol w:w="851"/>
        <w:gridCol w:w="992"/>
        <w:gridCol w:w="6237"/>
      </w:tblGrid>
      <w:tr w:rsidR="00F623C2" w:rsidRPr="00262D28" w14:paraId="13B19E6D" w14:textId="77777777" w:rsidTr="0042353D">
        <w:trPr>
          <w:trHeight w:val="567"/>
        </w:trPr>
        <w:tc>
          <w:tcPr>
            <w:tcW w:w="544" w:type="dxa"/>
            <w:shd w:val="clear" w:color="auto" w:fill="auto"/>
            <w:tcMar>
              <w:top w:w="28" w:type="dxa"/>
              <w:left w:w="28" w:type="dxa"/>
              <w:bottom w:w="28" w:type="dxa"/>
              <w:right w:w="28" w:type="dxa"/>
            </w:tcMar>
            <w:vAlign w:val="center"/>
            <w:hideMark/>
          </w:tcPr>
          <w:p w14:paraId="5D777FE5" w14:textId="77777777" w:rsidR="00F623C2" w:rsidRPr="00F623C2" w:rsidRDefault="00F623C2" w:rsidP="00212AD3">
            <w:pPr>
              <w:ind w:firstLineChars="0" w:firstLine="0"/>
              <w:rPr>
                <w:rFonts w:ascii="黑体" w:eastAsia="黑体" w:hAnsi="黑体"/>
              </w:rPr>
            </w:pPr>
            <w:r w:rsidRPr="00F623C2">
              <w:rPr>
                <w:rFonts w:ascii="黑体" w:eastAsia="黑体" w:hAnsi="黑体" w:hint="eastAsia"/>
              </w:rPr>
              <w:t>通道代号</w:t>
            </w:r>
          </w:p>
        </w:tc>
        <w:tc>
          <w:tcPr>
            <w:tcW w:w="851" w:type="dxa"/>
            <w:shd w:val="clear" w:color="auto" w:fill="auto"/>
            <w:tcMar>
              <w:top w:w="28" w:type="dxa"/>
              <w:left w:w="28" w:type="dxa"/>
              <w:bottom w:w="28" w:type="dxa"/>
              <w:right w:w="28" w:type="dxa"/>
            </w:tcMar>
            <w:vAlign w:val="center"/>
            <w:hideMark/>
          </w:tcPr>
          <w:p w14:paraId="5CF0E37C" w14:textId="3D877CC3" w:rsidR="00F623C2" w:rsidRPr="00F623C2" w:rsidRDefault="00F623C2" w:rsidP="00212AD3">
            <w:pPr>
              <w:ind w:firstLineChars="0" w:firstLine="0"/>
              <w:jc w:val="center"/>
              <w:rPr>
                <w:rFonts w:ascii="黑体" w:eastAsia="黑体" w:hAnsi="黑体"/>
              </w:rPr>
            </w:pPr>
            <w:r w:rsidRPr="00F623C2">
              <w:rPr>
                <w:rFonts w:ascii="黑体" w:eastAsia="黑体" w:hAnsi="黑体" w:hint="eastAsia"/>
              </w:rPr>
              <w:t>光谱段颜色</w:t>
            </w:r>
          </w:p>
        </w:tc>
        <w:tc>
          <w:tcPr>
            <w:tcW w:w="992" w:type="dxa"/>
            <w:shd w:val="clear" w:color="auto" w:fill="auto"/>
            <w:tcMar>
              <w:top w:w="28" w:type="dxa"/>
              <w:left w:w="28" w:type="dxa"/>
              <w:bottom w:w="28" w:type="dxa"/>
              <w:right w:w="28" w:type="dxa"/>
            </w:tcMar>
            <w:vAlign w:val="center"/>
            <w:hideMark/>
          </w:tcPr>
          <w:p w14:paraId="2053EE94" w14:textId="38492D7B" w:rsidR="00F623C2" w:rsidRPr="00F623C2" w:rsidRDefault="00F623C2" w:rsidP="00212AD3">
            <w:pPr>
              <w:ind w:firstLineChars="0" w:firstLine="0"/>
              <w:jc w:val="center"/>
              <w:rPr>
                <w:rFonts w:ascii="黑体" w:eastAsia="黑体" w:hAnsi="黑体"/>
              </w:rPr>
            </w:pPr>
            <w:r w:rsidRPr="00F623C2">
              <w:rPr>
                <w:rFonts w:ascii="黑体" w:eastAsia="黑体" w:hAnsi="黑体" w:hint="eastAsia"/>
              </w:rPr>
              <w:t>波长范围</w:t>
            </w:r>
            <w:proofErr w:type="spellStart"/>
            <w:r w:rsidRPr="00360DDB">
              <w:rPr>
                <w:rFonts w:eastAsia="黑体" w:cs="Times New Roman"/>
              </w:rPr>
              <w:t>μm</w:t>
            </w:r>
            <w:proofErr w:type="spellEnd"/>
          </w:p>
        </w:tc>
        <w:tc>
          <w:tcPr>
            <w:tcW w:w="6237" w:type="dxa"/>
            <w:shd w:val="clear" w:color="auto" w:fill="auto"/>
            <w:tcMar>
              <w:top w:w="28" w:type="dxa"/>
              <w:left w:w="28" w:type="dxa"/>
              <w:bottom w:w="28" w:type="dxa"/>
              <w:right w:w="28" w:type="dxa"/>
            </w:tcMar>
            <w:vAlign w:val="center"/>
            <w:hideMark/>
          </w:tcPr>
          <w:p w14:paraId="4EF47822" w14:textId="2EC5BC0F" w:rsidR="00F623C2" w:rsidRPr="00F623C2" w:rsidRDefault="00F623C2" w:rsidP="00212AD3">
            <w:pPr>
              <w:ind w:left="420" w:firstLineChars="0" w:firstLine="0"/>
              <w:jc w:val="center"/>
              <w:rPr>
                <w:rFonts w:ascii="黑体" w:eastAsia="黑体" w:hAnsi="黑体"/>
              </w:rPr>
            </w:pPr>
            <w:r w:rsidRPr="00F623C2">
              <w:rPr>
                <w:rFonts w:ascii="黑体" w:eastAsia="黑体" w:hAnsi="黑体" w:hint="eastAsia"/>
              </w:rPr>
              <w:t>主要功能</w:t>
            </w:r>
          </w:p>
        </w:tc>
      </w:tr>
      <w:tr w:rsidR="00F623C2" w:rsidRPr="00262D28" w14:paraId="345D711C" w14:textId="77777777" w:rsidTr="0042353D">
        <w:tc>
          <w:tcPr>
            <w:tcW w:w="544" w:type="dxa"/>
            <w:shd w:val="clear" w:color="auto" w:fill="auto"/>
            <w:tcMar>
              <w:top w:w="28" w:type="dxa"/>
              <w:left w:w="28" w:type="dxa"/>
              <w:bottom w:w="28" w:type="dxa"/>
              <w:right w:w="28" w:type="dxa"/>
            </w:tcMar>
            <w:vAlign w:val="center"/>
            <w:hideMark/>
          </w:tcPr>
          <w:p w14:paraId="2017688F"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TM1</w:t>
            </w:r>
          </w:p>
        </w:tc>
        <w:tc>
          <w:tcPr>
            <w:tcW w:w="851" w:type="dxa"/>
            <w:shd w:val="clear" w:color="auto" w:fill="auto"/>
            <w:tcMar>
              <w:top w:w="28" w:type="dxa"/>
              <w:left w:w="28" w:type="dxa"/>
              <w:bottom w:w="28" w:type="dxa"/>
              <w:right w:w="28" w:type="dxa"/>
            </w:tcMar>
            <w:vAlign w:val="center"/>
            <w:hideMark/>
          </w:tcPr>
          <w:p w14:paraId="3D12E8D3"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蓝</w:t>
            </w:r>
          </w:p>
        </w:tc>
        <w:tc>
          <w:tcPr>
            <w:tcW w:w="992" w:type="dxa"/>
            <w:shd w:val="clear" w:color="auto" w:fill="auto"/>
            <w:tcMar>
              <w:top w:w="28" w:type="dxa"/>
              <w:left w:w="28" w:type="dxa"/>
              <w:bottom w:w="28" w:type="dxa"/>
              <w:right w:w="28" w:type="dxa"/>
            </w:tcMar>
            <w:vAlign w:val="center"/>
            <w:hideMark/>
          </w:tcPr>
          <w:p w14:paraId="197ACD4F"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0.45-0.52</w:t>
            </w:r>
          </w:p>
        </w:tc>
        <w:tc>
          <w:tcPr>
            <w:tcW w:w="6237" w:type="dxa"/>
            <w:shd w:val="clear" w:color="auto" w:fill="auto"/>
            <w:tcMar>
              <w:top w:w="28" w:type="dxa"/>
              <w:left w:w="28" w:type="dxa"/>
              <w:bottom w:w="28" w:type="dxa"/>
              <w:right w:w="28" w:type="dxa"/>
            </w:tcMar>
            <w:vAlign w:val="center"/>
            <w:hideMark/>
          </w:tcPr>
          <w:p w14:paraId="1722FD55"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对水体的透射能力强，对叶绿素及其浓度反应敏感有利于识别水体的深度、水中叶绿素分布，可用于</w:t>
            </w:r>
            <w:r w:rsidRPr="00262D28">
              <w:rPr>
                <w:rFonts w:hint="eastAsia"/>
                <w:color w:val="FF3F3F"/>
              </w:rPr>
              <w:t>水系、浅海水域图和森林制图</w:t>
            </w:r>
            <w:r w:rsidRPr="00262D28">
              <w:rPr>
                <w:rFonts w:hint="eastAsia"/>
              </w:rPr>
              <w:t>，识别土壤和植被等</w:t>
            </w:r>
            <w:r w:rsidRPr="00262D28">
              <w:rPr>
                <w:rFonts w:hint="eastAsia"/>
              </w:rPr>
              <w:t xml:space="preserve"> </w:t>
            </w:r>
          </w:p>
        </w:tc>
      </w:tr>
      <w:tr w:rsidR="00F623C2" w:rsidRPr="00262D28" w14:paraId="3F6E2F60" w14:textId="77777777" w:rsidTr="0042353D">
        <w:tc>
          <w:tcPr>
            <w:tcW w:w="544" w:type="dxa"/>
            <w:shd w:val="clear" w:color="auto" w:fill="auto"/>
            <w:tcMar>
              <w:top w:w="28" w:type="dxa"/>
              <w:left w:w="28" w:type="dxa"/>
              <w:bottom w:w="28" w:type="dxa"/>
              <w:right w:w="28" w:type="dxa"/>
            </w:tcMar>
            <w:vAlign w:val="center"/>
            <w:hideMark/>
          </w:tcPr>
          <w:p w14:paraId="7FC900BB"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TM2</w:t>
            </w:r>
          </w:p>
        </w:tc>
        <w:tc>
          <w:tcPr>
            <w:tcW w:w="851" w:type="dxa"/>
            <w:shd w:val="clear" w:color="auto" w:fill="auto"/>
            <w:tcMar>
              <w:top w:w="28" w:type="dxa"/>
              <w:left w:w="28" w:type="dxa"/>
              <w:bottom w:w="28" w:type="dxa"/>
              <w:right w:w="28" w:type="dxa"/>
            </w:tcMar>
            <w:vAlign w:val="center"/>
            <w:hideMark/>
          </w:tcPr>
          <w:p w14:paraId="5D2E03A9"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绿</w:t>
            </w:r>
            <w:r w:rsidRPr="00262D28">
              <w:rPr>
                <w:rFonts w:eastAsia="楷体" w:hAnsi="楷体" w:cs="宋体" w:hint="eastAsia"/>
                <w:bCs/>
                <w:color w:val="000000" w:themeColor="text1"/>
                <w:kern w:val="24"/>
                <w:szCs w:val="21"/>
              </w:rPr>
              <w:t xml:space="preserve"> </w:t>
            </w:r>
          </w:p>
        </w:tc>
        <w:tc>
          <w:tcPr>
            <w:tcW w:w="992" w:type="dxa"/>
            <w:shd w:val="clear" w:color="auto" w:fill="auto"/>
            <w:tcMar>
              <w:top w:w="28" w:type="dxa"/>
              <w:left w:w="28" w:type="dxa"/>
              <w:bottom w:w="28" w:type="dxa"/>
              <w:right w:w="28" w:type="dxa"/>
            </w:tcMar>
            <w:vAlign w:val="center"/>
            <w:hideMark/>
          </w:tcPr>
          <w:p w14:paraId="494F62CE"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0.52-0.60</w:t>
            </w:r>
          </w:p>
        </w:tc>
        <w:tc>
          <w:tcPr>
            <w:tcW w:w="6237" w:type="dxa"/>
            <w:shd w:val="clear" w:color="auto" w:fill="auto"/>
            <w:tcMar>
              <w:top w:w="28" w:type="dxa"/>
              <w:left w:w="28" w:type="dxa"/>
              <w:bottom w:w="28" w:type="dxa"/>
              <w:right w:w="28" w:type="dxa"/>
            </w:tcMar>
            <w:vAlign w:val="center"/>
            <w:hideMark/>
          </w:tcPr>
          <w:p w14:paraId="058E4EB5"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与</w:t>
            </w:r>
            <w:r w:rsidRPr="00262D28">
              <w:t>MSS4</w:t>
            </w:r>
            <w:r w:rsidRPr="00262D28">
              <w:rPr>
                <w:rFonts w:hint="eastAsia"/>
              </w:rPr>
              <w:t>相关性较大，对健康茂盛植物的绿色反射敏感，可探测健康植物绿色反射率，</w:t>
            </w:r>
            <w:r w:rsidRPr="00262D28">
              <w:rPr>
                <w:rFonts w:hint="eastAsia"/>
                <w:color w:val="FF3F3F"/>
              </w:rPr>
              <w:t>评价生产力和识别植物类型；</w:t>
            </w:r>
            <w:r w:rsidRPr="00262D28">
              <w:rPr>
                <w:rFonts w:hint="eastAsia"/>
              </w:rPr>
              <w:t>对水的穿透射能力较强，可</w:t>
            </w:r>
            <w:r w:rsidRPr="00262D28">
              <w:rPr>
                <w:rFonts w:hint="eastAsia"/>
                <w:color w:val="FF3F3F"/>
              </w:rPr>
              <w:t>反映水下特征</w:t>
            </w:r>
            <w:r w:rsidRPr="00262D28">
              <w:t xml:space="preserve"> </w:t>
            </w:r>
          </w:p>
        </w:tc>
      </w:tr>
      <w:tr w:rsidR="00F623C2" w:rsidRPr="00262D28" w14:paraId="30341F37" w14:textId="77777777" w:rsidTr="0042353D">
        <w:tc>
          <w:tcPr>
            <w:tcW w:w="544" w:type="dxa"/>
            <w:shd w:val="clear" w:color="auto" w:fill="auto"/>
            <w:tcMar>
              <w:top w:w="28" w:type="dxa"/>
              <w:left w:w="28" w:type="dxa"/>
              <w:bottom w:w="28" w:type="dxa"/>
              <w:right w:w="28" w:type="dxa"/>
            </w:tcMar>
            <w:vAlign w:val="center"/>
            <w:hideMark/>
          </w:tcPr>
          <w:p w14:paraId="011C4381"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TM3</w:t>
            </w:r>
          </w:p>
        </w:tc>
        <w:tc>
          <w:tcPr>
            <w:tcW w:w="851" w:type="dxa"/>
            <w:shd w:val="clear" w:color="auto" w:fill="auto"/>
            <w:tcMar>
              <w:top w:w="28" w:type="dxa"/>
              <w:left w:w="28" w:type="dxa"/>
              <w:bottom w:w="28" w:type="dxa"/>
              <w:right w:w="28" w:type="dxa"/>
            </w:tcMar>
            <w:vAlign w:val="center"/>
            <w:hideMark/>
          </w:tcPr>
          <w:p w14:paraId="3456663C"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红</w:t>
            </w:r>
          </w:p>
        </w:tc>
        <w:tc>
          <w:tcPr>
            <w:tcW w:w="992" w:type="dxa"/>
            <w:shd w:val="clear" w:color="auto" w:fill="auto"/>
            <w:tcMar>
              <w:top w:w="28" w:type="dxa"/>
              <w:left w:w="28" w:type="dxa"/>
              <w:bottom w:w="28" w:type="dxa"/>
              <w:right w:w="28" w:type="dxa"/>
            </w:tcMar>
            <w:vAlign w:val="center"/>
            <w:hideMark/>
          </w:tcPr>
          <w:p w14:paraId="719CD261"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0.63-0.69</w:t>
            </w:r>
          </w:p>
        </w:tc>
        <w:tc>
          <w:tcPr>
            <w:tcW w:w="6237" w:type="dxa"/>
            <w:shd w:val="clear" w:color="auto" w:fill="auto"/>
            <w:tcMar>
              <w:top w:w="28" w:type="dxa"/>
              <w:left w:w="28" w:type="dxa"/>
              <w:bottom w:w="28" w:type="dxa"/>
              <w:right w:w="28" w:type="dxa"/>
            </w:tcMar>
            <w:vAlign w:val="center"/>
            <w:hideMark/>
          </w:tcPr>
          <w:p w14:paraId="283FBCA0"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与</w:t>
            </w:r>
            <w:r w:rsidRPr="00262D28">
              <w:t>MSS5</w:t>
            </w:r>
            <w:r w:rsidRPr="00262D28">
              <w:rPr>
                <w:rFonts w:hint="eastAsia"/>
              </w:rPr>
              <w:t>相关性较大，为叶绿素的主要吸收波段。可用于测量</w:t>
            </w:r>
            <w:r w:rsidRPr="00262D28">
              <w:rPr>
                <w:rFonts w:hint="eastAsia"/>
                <w:color w:val="FF3F3F"/>
              </w:rPr>
              <w:t>植物叶绿素吸收，进行植被分类</w:t>
            </w:r>
            <w:r w:rsidRPr="00262D28">
              <w:t xml:space="preserve"> </w:t>
            </w:r>
            <w:r w:rsidRPr="00262D28">
              <w:t>，对水中悬浮泥沙反应敏感。可见光的最佳波段</w:t>
            </w:r>
          </w:p>
        </w:tc>
      </w:tr>
      <w:tr w:rsidR="00F623C2" w:rsidRPr="00262D28" w14:paraId="61FA539B" w14:textId="77777777" w:rsidTr="0042353D">
        <w:tc>
          <w:tcPr>
            <w:tcW w:w="544" w:type="dxa"/>
            <w:shd w:val="clear" w:color="auto" w:fill="auto"/>
            <w:tcMar>
              <w:top w:w="28" w:type="dxa"/>
              <w:left w:w="28" w:type="dxa"/>
              <w:bottom w:w="28" w:type="dxa"/>
              <w:right w:w="28" w:type="dxa"/>
            </w:tcMar>
            <w:vAlign w:val="center"/>
            <w:hideMark/>
          </w:tcPr>
          <w:p w14:paraId="5A9E59B2"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TM4</w:t>
            </w:r>
          </w:p>
        </w:tc>
        <w:tc>
          <w:tcPr>
            <w:tcW w:w="851" w:type="dxa"/>
            <w:shd w:val="clear" w:color="auto" w:fill="auto"/>
            <w:tcMar>
              <w:top w:w="28" w:type="dxa"/>
              <w:left w:w="28" w:type="dxa"/>
              <w:bottom w:w="28" w:type="dxa"/>
              <w:right w:w="28" w:type="dxa"/>
            </w:tcMar>
            <w:vAlign w:val="center"/>
            <w:hideMark/>
          </w:tcPr>
          <w:p w14:paraId="07E3DDE8"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近红外短波</w:t>
            </w:r>
            <w:r w:rsidRPr="00262D28">
              <w:rPr>
                <w:rFonts w:eastAsia="楷体" w:hAnsi="楷体" w:cs="宋体" w:hint="eastAsia"/>
                <w:bCs/>
                <w:color w:val="000000" w:themeColor="text1"/>
                <w:kern w:val="24"/>
                <w:szCs w:val="21"/>
              </w:rPr>
              <w:t xml:space="preserve"> </w:t>
            </w:r>
          </w:p>
        </w:tc>
        <w:tc>
          <w:tcPr>
            <w:tcW w:w="992" w:type="dxa"/>
            <w:shd w:val="clear" w:color="auto" w:fill="auto"/>
            <w:tcMar>
              <w:top w:w="28" w:type="dxa"/>
              <w:left w:w="28" w:type="dxa"/>
              <w:bottom w:w="28" w:type="dxa"/>
              <w:right w:w="28" w:type="dxa"/>
            </w:tcMar>
            <w:vAlign w:val="center"/>
            <w:hideMark/>
          </w:tcPr>
          <w:p w14:paraId="4BC4B165"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0.76-0.90</w:t>
            </w:r>
          </w:p>
        </w:tc>
        <w:tc>
          <w:tcPr>
            <w:tcW w:w="6237" w:type="dxa"/>
            <w:shd w:val="clear" w:color="auto" w:fill="auto"/>
            <w:tcMar>
              <w:top w:w="28" w:type="dxa"/>
              <w:left w:w="28" w:type="dxa"/>
              <w:bottom w:w="28" w:type="dxa"/>
              <w:right w:w="28" w:type="dxa"/>
            </w:tcMar>
            <w:vAlign w:val="center"/>
            <w:hideMark/>
          </w:tcPr>
          <w:p w14:paraId="53D65EA9"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与</w:t>
            </w:r>
            <w:r w:rsidRPr="00262D28">
              <w:t>MSS6/7</w:t>
            </w:r>
            <w:r w:rsidRPr="00262D28">
              <w:rPr>
                <w:rFonts w:hint="eastAsia"/>
              </w:rPr>
              <w:t>相关性较大，植被高反射区，植物细胞结构决定，植物通用波段，可用于</w:t>
            </w:r>
            <w:r w:rsidRPr="00262D28">
              <w:rPr>
                <w:rFonts w:hint="eastAsia"/>
                <w:color w:val="44546A" w:themeColor="text2"/>
              </w:rPr>
              <w:t>植被分类，</w:t>
            </w:r>
            <w:r w:rsidRPr="00262D28">
              <w:rPr>
                <w:rFonts w:hint="eastAsia"/>
                <w:color w:val="FF3F3F"/>
              </w:rPr>
              <w:t>测定生物量和作物长势，确定水体轮廓，识别与水有关的地貌等</w:t>
            </w:r>
            <w:r w:rsidRPr="00262D28">
              <w:t xml:space="preserve"> </w:t>
            </w:r>
          </w:p>
        </w:tc>
      </w:tr>
      <w:tr w:rsidR="00F623C2" w:rsidRPr="00262D28" w14:paraId="200541F5" w14:textId="77777777" w:rsidTr="0042353D">
        <w:tc>
          <w:tcPr>
            <w:tcW w:w="544" w:type="dxa"/>
            <w:shd w:val="clear" w:color="auto" w:fill="auto"/>
            <w:tcMar>
              <w:top w:w="28" w:type="dxa"/>
              <w:left w:w="28" w:type="dxa"/>
              <w:bottom w:w="28" w:type="dxa"/>
              <w:right w:w="28" w:type="dxa"/>
            </w:tcMar>
            <w:vAlign w:val="center"/>
            <w:hideMark/>
          </w:tcPr>
          <w:p w14:paraId="5B6655D2"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TM5</w:t>
            </w:r>
          </w:p>
        </w:tc>
        <w:tc>
          <w:tcPr>
            <w:tcW w:w="851" w:type="dxa"/>
            <w:shd w:val="clear" w:color="auto" w:fill="auto"/>
            <w:tcMar>
              <w:top w:w="28" w:type="dxa"/>
              <w:left w:w="28" w:type="dxa"/>
              <w:bottom w:w="28" w:type="dxa"/>
              <w:right w:w="28" w:type="dxa"/>
            </w:tcMar>
            <w:vAlign w:val="center"/>
            <w:hideMark/>
          </w:tcPr>
          <w:p w14:paraId="7FF7446F"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近红外中波</w:t>
            </w:r>
          </w:p>
        </w:tc>
        <w:tc>
          <w:tcPr>
            <w:tcW w:w="992" w:type="dxa"/>
            <w:shd w:val="clear" w:color="auto" w:fill="auto"/>
            <w:tcMar>
              <w:top w:w="28" w:type="dxa"/>
              <w:left w:w="28" w:type="dxa"/>
              <w:bottom w:w="28" w:type="dxa"/>
              <w:right w:w="28" w:type="dxa"/>
            </w:tcMar>
            <w:vAlign w:val="center"/>
            <w:hideMark/>
          </w:tcPr>
          <w:p w14:paraId="4C094CC9"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1.55-1.75</w:t>
            </w:r>
          </w:p>
        </w:tc>
        <w:tc>
          <w:tcPr>
            <w:tcW w:w="6237" w:type="dxa"/>
            <w:shd w:val="clear" w:color="auto" w:fill="auto"/>
            <w:tcMar>
              <w:top w:w="28" w:type="dxa"/>
              <w:left w:w="28" w:type="dxa"/>
              <w:bottom w:w="28" w:type="dxa"/>
              <w:right w:w="28" w:type="dxa"/>
            </w:tcMar>
            <w:vAlign w:val="center"/>
            <w:hideMark/>
          </w:tcPr>
          <w:p w14:paraId="1BD39B9B"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水的吸收带</w:t>
            </w:r>
            <w:r w:rsidRPr="00262D28">
              <w:t>(1.4~1.9μm )</w:t>
            </w:r>
            <w:r w:rsidRPr="00262D28">
              <w:rPr>
                <w:rFonts w:hint="eastAsia"/>
              </w:rPr>
              <w:t>，对水分敏感。用于</w:t>
            </w:r>
            <w:r w:rsidRPr="00262D28">
              <w:rPr>
                <w:rFonts w:hint="eastAsia"/>
                <w:color w:val="FF3F3F"/>
              </w:rPr>
              <w:t>土壤水分、植物含水量</w:t>
            </w:r>
            <w:r w:rsidRPr="00262D28">
              <w:rPr>
                <w:rFonts w:hint="eastAsia"/>
              </w:rPr>
              <w:t>和地质研究，</w:t>
            </w:r>
            <w:r w:rsidRPr="00262D28">
              <w:rPr>
                <w:rFonts w:hint="eastAsia"/>
                <w:color w:val="FF3F3F"/>
              </w:rPr>
              <w:t>区分云和雪</w:t>
            </w:r>
          </w:p>
        </w:tc>
      </w:tr>
      <w:tr w:rsidR="00F623C2" w:rsidRPr="00262D28" w14:paraId="3806DFA2" w14:textId="77777777" w:rsidTr="0042353D">
        <w:tc>
          <w:tcPr>
            <w:tcW w:w="544" w:type="dxa"/>
            <w:shd w:val="clear" w:color="auto" w:fill="auto"/>
            <w:tcMar>
              <w:top w:w="28" w:type="dxa"/>
              <w:left w:w="28" w:type="dxa"/>
              <w:bottom w:w="28" w:type="dxa"/>
              <w:right w:w="28" w:type="dxa"/>
            </w:tcMar>
            <w:vAlign w:val="center"/>
            <w:hideMark/>
          </w:tcPr>
          <w:p w14:paraId="04C013C6"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TM6</w:t>
            </w:r>
          </w:p>
        </w:tc>
        <w:tc>
          <w:tcPr>
            <w:tcW w:w="851" w:type="dxa"/>
            <w:shd w:val="clear" w:color="auto" w:fill="auto"/>
            <w:tcMar>
              <w:top w:w="28" w:type="dxa"/>
              <w:left w:w="28" w:type="dxa"/>
              <w:bottom w:w="28" w:type="dxa"/>
              <w:right w:w="28" w:type="dxa"/>
            </w:tcMar>
            <w:vAlign w:val="center"/>
            <w:hideMark/>
          </w:tcPr>
          <w:p w14:paraId="57C33625"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热红外</w:t>
            </w:r>
          </w:p>
        </w:tc>
        <w:tc>
          <w:tcPr>
            <w:tcW w:w="992" w:type="dxa"/>
            <w:shd w:val="clear" w:color="auto" w:fill="auto"/>
            <w:tcMar>
              <w:top w:w="28" w:type="dxa"/>
              <w:left w:w="28" w:type="dxa"/>
              <w:bottom w:w="28" w:type="dxa"/>
              <w:right w:w="28" w:type="dxa"/>
            </w:tcMar>
            <w:vAlign w:val="center"/>
            <w:hideMark/>
          </w:tcPr>
          <w:p w14:paraId="77011184"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10.40-12.50</w:t>
            </w:r>
          </w:p>
        </w:tc>
        <w:tc>
          <w:tcPr>
            <w:tcW w:w="6237" w:type="dxa"/>
            <w:shd w:val="clear" w:color="auto" w:fill="auto"/>
            <w:tcMar>
              <w:top w:w="28" w:type="dxa"/>
              <w:left w:w="28" w:type="dxa"/>
              <w:bottom w:w="28" w:type="dxa"/>
              <w:right w:w="28" w:type="dxa"/>
            </w:tcMar>
            <w:vAlign w:val="center"/>
            <w:hideMark/>
          </w:tcPr>
          <w:p w14:paraId="7F09DA41"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植物的胁迫分析，土壤湿度，区分农林覆盖长势，水体岩石等地表特征识别，地质探矿，监测与人类活动有关的热特征，进行</w:t>
            </w:r>
            <w:r w:rsidRPr="00360DDB">
              <w:rPr>
                <w:rFonts w:hint="eastAsia"/>
                <w:color w:val="FF0000"/>
              </w:rPr>
              <w:t>热测定与热制图</w:t>
            </w:r>
          </w:p>
        </w:tc>
      </w:tr>
      <w:tr w:rsidR="00F623C2" w:rsidRPr="00262D28" w14:paraId="31D8AD01" w14:textId="77777777" w:rsidTr="0042353D">
        <w:tc>
          <w:tcPr>
            <w:tcW w:w="544" w:type="dxa"/>
            <w:shd w:val="clear" w:color="auto" w:fill="auto"/>
            <w:tcMar>
              <w:top w:w="28" w:type="dxa"/>
              <w:left w:w="28" w:type="dxa"/>
              <w:bottom w:w="28" w:type="dxa"/>
              <w:right w:w="28" w:type="dxa"/>
            </w:tcMar>
            <w:vAlign w:val="center"/>
            <w:hideMark/>
          </w:tcPr>
          <w:p w14:paraId="7ABE129B"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TM7</w:t>
            </w:r>
          </w:p>
        </w:tc>
        <w:tc>
          <w:tcPr>
            <w:tcW w:w="851" w:type="dxa"/>
            <w:shd w:val="clear" w:color="auto" w:fill="auto"/>
            <w:tcMar>
              <w:top w:w="28" w:type="dxa"/>
              <w:left w:w="28" w:type="dxa"/>
              <w:bottom w:w="28" w:type="dxa"/>
              <w:right w:w="28" w:type="dxa"/>
            </w:tcMar>
            <w:vAlign w:val="center"/>
            <w:hideMark/>
          </w:tcPr>
          <w:p w14:paraId="68DCAC75"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hAnsi="楷体" w:cs="宋体" w:hint="eastAsia"/>
                <w:bCs/>
                <w:color w:val="000000" w:themeColor="text1"/>
                <w:kern w:val="24"/>
                <w:szCs w:val="21"/>
              </w:rPr>
              <w:t>近红外长波</w:t>
            </w:r>
          </w:p>
        </w:tc>
        <w:tc>
          <w:tcPr>
            <w:tcW w:w="992" w:type="dxa"/>
            <w:shd w:val="clear" w:color="auto" w:fill="auto"/>
            <w:tcMar>
              <w:top w:w="28" w:type="dxa"/>
              <w:left w:w="28" w:type="dxa"/>
              <w:bottom w:w="28" w:type="dxa"/>
              <w:right w:w="28" w:type="dxa"/>
            </w:tcMar>
            <w:vAlign w:val="center"/>
            <w:hideMark/>
          </w:tcPr>
          <w:p w14:paraId="74D0F0EC" w14:textId="77777777" w:rsidR="00F623C2" w:rsidRPr="00262D28" w:rsidRDefault="00F623C2" w:rsidP="00212AD3">
            <w:pPr>
              <w:widowControl/>
              <w:spacing w:line="228" w:lineRule="auto"/>
              <w:ind w:firstLineChars="0" w:firstLine="0"/>
              <w:jc w:val="center"/>
              <w:textAlignment w:val="baseline"/>
              <w:rPr>
                <w:rFonts w:ascii="Arial" w:hAnsi="Arial" w:cs="Arial"/>
                <w:kern w:val="0"/>
                <w:szCs w:val="21"/>
              </w:rPr>
            </w:pPr>
            <w:r w:rsidRPr="00262D28">
              <w:rPr>
                <w:rFonts w:eastAsia="楷体" w:cs="宋体"/>
                <w:bCs/>
                <w:color w:val="000000" w:themeColor="text1"/>
                <w:kern w:val="24"/>
                <w:szCs w:val="21"/>
              </w:rPr>
              <w:t>2.08-2.35</w:t>
            </w:r>
          </w:p>
        </w:tc>
        <w:tc>
          <w:tcPr>
            <w:tcW w:w="6237" w:type="dxa"/>
            <w:shd w:val="clear" w:color="auto" w:fill="auto"/>
            <w:tcMar>
              <w:top w:w="28" w:type="dxa"/>
              <w:left w:w="28" w:type="dxa"/>
              <w:bottom w:w="28" w:type="dxa"/>
              <w:right w:w="28" w:type="dxa"/>
            </w:tcMar>
            <w:vAlign w:val="center"/>
            <w:hideMark/>
          </w:tcPr>
          <w:p w14:paraId="0EB78792" w14:textId="77777777" w:rsidR="00F623C2" w:rsidRPr="00262D28" w:rsidRDefault="00F623C2" w:rsidP="00212AD3">
            <w:pPr>
              <w:spacing w:line="240" w:lineRule="auto"/>
              <w:ind w:firstLineChars="0" w:firstLine="0"/>
              <w:rPr>
                <w:rFonts w:ascii="Arial" w:hAnsi="Arial" w:cs="Arial"/>
                <w:kern w:val="0"/>
              </w:rPr>
            </w:pPr>
            <w:r w:rsidRPr="00262D28">
              <w:rPr>
                <w:rFonts w:hint="eastAsia"/>
              </w:rPr>
              <w:t>水的强吸收带之间，影像水体呈黑色。可用于城市土地利用制图，</w:t>
            </w:r>
            <w:r w:rsidRPr="00360DDB">
              <w:rPr>
                <w:rFonts w:hint="eastAsia"/>
                <w:color w:val="FF0000"/>
              </w:rPr>
              <w:t>区分岩石类型</w:t>
            </w:r>
            <w:r w:rsidRPr="00262D28">
              <w:rPr>
                <w:rFonts w:hint="eastAsia"/>
                <w:color w:val="44546A" w:themeColor="text2"/>
              </w:rPr>
              <w:t>、</w:t>
            </w:r>
            <w:r w:rsidRPr="00262D28">
              <w:rPr>
                <w:rFonts w:hint="eastAsia"/>
                <w:color w:val="FF3F3F"/>
              </w:rPr>
              <w:t>地质探矿和制图</w:t>
            </w:r>
          </w:p>
        </w:tc>
      </w:tr>
    </w:tbl>
    <w:p w14:paraId="3C1A31EE" w14:textId="53FA4456" w:rsidR="002508F5" w:rsidRDefault="002508F5" w:rsidP="00451762">
      <w:pPr>
        <w:ind w:firstLineChars="0" w:firstLine="0"/>
      </w:pPr>
    </w:p>
    <w:p w14:paraId="431C7F05" w14:textId="77563B87" w:rsidR="002508F5" w:rsidRDefault="00376422" w:rsidP="009B07F1">
      <w:pPr>
        <w:pStyle w:val="aa"/>
        <w:spacing w:before="156" w:after="156"/>
      </w:pPr>
      <w:r>
        <w:rPr>
          <w:rFonts w:hint="eastAsia"/>
        </w:rPr>
        <w:t>遥感目视解译方法</w:t>
      </w:r>
    </w:p>
    <w:p w14:paraId="4236A740" w14:textId="5D2A0ACA" w:rsidR="00376422" w:rsidRDefault="00376422" w:rsidP="002508F5">
      <w:pPr>
        <w:ind w:firstLineChars="0"/>
      </w:pPr>
      <w:r>
        <w:rPr>
          <w:rFonts w:hint="eastAsia"/>
        </w:rPr>
        <w:t>遥感影像目标判断方法是指依据遥感影像目视判读标志和判读经验，识别目标地物的方法与技巧，常用的目视判读方法有以下几种：</w:t>
      </w:r>
    </w:p>
    <w:p w14:paraId="30ECE0FE" w14:textId="02DE92E2" w:rsidR="00376422" w:rsidRDefault="00376422" w:rsidP="00376422">
      <w:pPr>
        <w:pStyle w:val="a5"/>
        <w:numPr>
          <w:ilvl w:val="0"/>
          <w:numId w:val="38"/>
        </w:numPr>
        <w:ind w:firstLineChars="0"/>
      </w:pPr>
      <w:r>
        <w:rPr>
          <w:rFonts w:hint="eastAsia"/>
        </w:rPr>
        <w:t>直接判读法</w:t>
      </w:r>
    </w:p>
    <w:p w14:paraId="2FB5A851" w14:textId="28AF053B" w:rsidR="00376422" w:rsidRDefault="00376422" w:rsidP="00376422">
      <w:pPr>
        <w:pStyle w:val="a5"/>
        <w:numPr>
          <w:ilvl w:val="0"/>
          <w:numId w:val="38"/>
        </w:numPr>
        <w:ind w:firstLineChars="0"/>
      </w:pPr>
      <w:r>
        <w:rPr>
          <w:rFonts w:hint="eastAsia"/>
        </w:rPr>
        <w:t>对比分析法</w:t>
      </w:r>
    </w:p>
    <w:p w14:paraId="5D6879F4" w14:textId="125DCAEE" w:rsidR="00376422" w:rsidRDefault="00376422" w:rsidP="00376422">
      <w:pPr>
        <w:pStyle w:val="a5"/>
        <w:numPr>
          <w:ilvl w:val="0"/>
          <w:numId w:val="38"/>
        </w:numPr>
        <w:ind w:firstLineChars="0"/>
      </w:pPr>
      <w:r>
        <w:rPr>
          <w:rFonts w:hint="eastAsia"/>
        </w:rPr>
        <w:t>信息复合</w:t>
      </w:r>
      <w:r w:rsidR="005612F9">
        <w:rPr>
          <w:rFonts w:hint="eastAsia"/>
        </w:rPr>
        <w:t>法</w:t>
      </w:r>
    </w:p>
    <w:p w14:paraId="3A78EBE3" w14:textId="4A2C094D" w:rsidR="00376422" w:rsidRDefault="00376422" w:rsidP="00376422">
      <w:pPr>
        <w:pStyle w:val="a5"/>
        <w:numPr>
          <w:ilvl w:val="0"/>
          <w:numId w:val="38"/>
        </w:numPr>
        <w:ind w:firstLineChars="0"/>
      </w:pPr>
      <w:r>
        <w:rPr>
          <w:rFonts w:hint="eastAsia"/>
        </w:rPr>
        <w:t>综合推理</w:t>
      </w:r>
      <w:r w:rsidR="005612F9">
        <w:rPr>
          <w:rFonts w:hint="eastAsia"/>
        </w:rPr>
        <w:t>法</w:t>
      </w:r>
    </w:p>
    <w:p w14:paraId="16960165" w14:textId="288007AD" w:rsidR="00376422" w:rsidRDefault="005612F9" w:rsidP="00376422">
      <w:pPr>
        <w:pStyle w:val="a5"/>
        <w:numPr>
          <w:ilvl w:val="0"/>
          <w:numId w:val="38"/>
        </w:numPr>
        <w:ind w:firstLineChars="0"/>
      </w:pPr>
      <w:r>
        <w:rPr>
          <w:rFonts w:hint="eastAsia"/>
        </w:rPr>
        <w:t>地理相关分析法</w:t>
      </w:r>
    </w:p>
    <w:p w14:paraId="6D79C706" w14:textId="74925ECE" w:rsidR="002508F5" w:rsidRDefault="002508F5" w:rsidP="002508F5">
      <w:pPr>
        <w:ind w:firstLineChars="0"/>
      </w:pPr>
    </w:p>
    <w:p w14:paraId="2E4C0B55" w14:textId="0194CCCF" w:rsidR="00B072D4" w:rsidRDefault="00B072D4" w:rsidP="009B07F1">
      <w:pPr>
        <w:pStyle w:val="aa"/>
        <w:spacing w:before="156" w:after="156"/>
      </w:pPr>
      <w:r>
        <w:rPr>
          <w:rFonts w:hint="eastAsia"/>
        </w:rPr>
        <w:t>遥感目视解译步骤</w:t>
      </w:r>
    </w:p>
    <w:p w14:paraId="4481D1AE" w14:textId="13299326" w:rsidR="00B072D4" w:rsidRDefault="00AD4FE4" w:rsidP="009B07F1">
      <w:pPr>
        <w:pStyle w:val="a5"/>
        <w:numPr>
          <w:ilvl w:val="0"/>
          <w:numId w:val="39"/>
        </w:numPr>
        <w:ind w:firstLineChars="0"/>
      </w:pPr>
      <w:r>
        <w:rPr>
          <w:rFonts w:hint="eastAsia"/>
        </w:rPr>
        <w:t>目视解译准备工作阶段</w:t>
      </w:r>
    </w:p>
    <w:p w14:paraId="3CFEDB7E" w14:textId="38F7484C" w:rsidR="00AD4FE4" w:rsidRDefault="00AD4FE4" w:rsidP="009B07F1">
      <w:pPr>
        <w:pStyle w:val="a5"/>
        <w:numPr>
          <w:ilvl w:val="0"/>
          <w:numId w:val="39"/>
        </w:numPr>
        <w:ind w:firstLineChars="0"/>
      </w:pPr>
      <w:r>
        <w:rPr>
          <w:rFonts w:hint="eastAsia"/>
        </w:rPr>
        <w:lastRenderedPageBreak/>
        <w:t>初步解译与</w:t>
      </w:r>
      <w:proofErr w:type="gramStart"/>
      <w:r>
        <w:rPr>
          <w:rFonts w:hint="eastAsia"/>
        </w:rPr>
        <w:t>判断区</w:t>
      </w:r>
      <w:proofErr w:type="gramEnd"/>
      <w:r>
        <w:rPr>
          <w:rFonts w:hint="eastAsia"/>
        </w:rPr>
        <w:t>的野外考察</w:t>
      </w:r>
    </w:p>
    <w:p w14:paraId="019D569E" w14:textId="043BB1BA" w:rsidR="00AD4FE4" w:rsidRDefault="00A766F9" w:rsidP="009B07F1">
      <w:pPr>
        <w:pStyle w:val="a5"/>
        <w:numPr>
          <w:ilvl w:val="0"/>
          <w:numId w:val="39"/>
        </w:numPr>
        <w:ind w:firstLineChars="0"/>
      </w:pPr>
      <w:r>
        <w:rPr>
          <w:rFonts w:hint="eastAsia"/>
        </w:rPr>
        <w:t>室内详细判读</w:t>
      </w:r>
    </w:p>
    <w:p w14:paraId="011DCC45" w14:textId="649C8F5B" w:rsidR="00A766F9" w:rsidRDefault="00A766F9" w:rsidP="009B07F1">
      <w:pPr>
        <w:pStyle w:val="a5"/>
        <w:numPr>
          <w:ilvl w:val="0"/>
          <w:numId w:val="39"/>
        </w:numPr>
        <w:ind w:firstLineChars="0"/>
      </w:pPr>
      <w:r>
        <w:rPr>
          <w:rFonts w:hint="eastAsia"/>
        </w:rPr>
        <w:t>野外验证与补判</w:t>
      </w:r>
    </w:p>
    <w:p w14:paraId="6534882C" w14:textId="116B5612" w:rsidR="00A766F9" w:rsidRDefault="00A766F9" w:rsidP="009B07F1">
      <w:pPr>
        <w:pStyle w:val="a5"/>
        <w:numPr>
          <w:ilvl w:val="0"/>
          <w:numId w:val="39"/>
        </w:numPr>
        <w:ind w:firstLineChars="0"/>
      </w:pPr>
      <w:r>
        <w:rPr>
          <w:rFonts w:hint="eastAsia"/>
        </w:rPr>
        <w:t>目视解译成果的</w:t>
      </w:r>
      <w:proofErr w:type="gramStart"/>
      <w:r>
        <w:rPr>
          <w:rFonts w:hint="eastAsia"/>
        </w:rPr>
        <w:t>转绘与</w:t>
      </w:r>
      <w:proofErr w:type="gramEnd"/>
      <w:r>
        <w:rPr>
          <w:rFonts w:hint="eastAsia"/>
        </w:rPr>
        <w:t>制图</w:t>
      </w:r>
    </w:p>
    <w:p w14:paraId="5DD19DCB" w14:textId="265D8C72" w:rsidR="00A766F9" w:rsidRDefault="00A766F9" w:rsidP="002508F5">
      <w:pPr>
        <w:ind w:firstLineChars="0"/>
      </w:pPr>
    </w:p>
    <w:p w14:paraId="6DE1AB7B" w14:textId="4D811A8F" w:rsidR="00937509" w:rsidRDefault="00937509" w:rsidP="00451762">
      <w:pPr>
        <w:pStyle w:val="aa"/>
        <w:spacing w:before="156" w:after="156"/>
      </w:pPr>
      <w:r>
        <w:rPr>
          <w:rFonts w:hint="eastAsia"/>
        </w:rPr>
        <w:t>影像地物特征及其判读的因素</w:t>
      </w:r>
    </w:p>
    <w:p w14:paraId="47E8A8D0" w14:textId="7AFA90E1" w:rsidR="00EE63B2" w:rsidRPr="00451762" w:rsidRDefault="00937509" w:rsidP="00EE63B2">
      <w:pPr>
        <w:ind w:firstLineChars="0"/>
        <w:rPr>
          <w:rFonts w:ascii="黑体" w:eastAsia="黑体" w:hAnsi="黑体"/>
        </w:rPr>
      </w:pPr>
      <w:r w:rsidRPr="00451762">
        <w:rPr>
          <w:rFonts w:ascii="黑体" w:eastAsia="黑体" w:hAnsi="黑体" w:hint="eastAsia"/>
        </w:rPr>
        <w:t>（1）地物本身的复杂性</w:t>
      </w:r>
    </w:p>
    <w:p w14:paraId="43A1120C" w14:textId="77777777" w:rsidR="00EE63B2" w:rsidRDefault="00EE63B2" w:rsidP="00EE63B2">
      <w:pPr>
        <w:ind w:firstLineChars="0"/>
      </w:pPr>
      <w:r>
        <w:rPr>
          <w:rFonts w:hint="eastAsia"/>
        </w:rPr>
        <w:t>不同类别出现相似或相同的判读标志；</w:t>
      </w:r>
    </w:p>
    <w:p w14:paraId="24B6EAC2" w14:textId="7994F116" w:rsidR="00937509" w:rsidRDefault="00EE63B2" w:rsidP="00EE63B2">
      <w:pPr>
        <w:ind w:firstLineChars="0"/>
      </w:pPr>
      <w:r>
        <w:rPr>
          <w:rFonts w:hint="eastAsia"/>
        </w:rPr>
        <w:t>同一类别出现不同的判读标志。</w:t>
      </w:r>
    </w:p>
    <w:p w14:paraId="03F91663" w14:textId="09B9EC14" w:rsidR="00EE63B2" w:rsidRPr="00451762" w:rsidRDefault="00EE63B2" w:rsidP="00EE63B2">
      <w:pPr>
        <w:ind w:firstLineChars="0"/>
        <w:rPr>
          <w:rFonts w:ascii="黑体" w:eastAsia="黑体" w:hAnsi="黑体"/>
        </w:rPr>
      </w:pPr>
      <w:r w:rsidRPr="00451762">
        <w:rPr>
          <w:rFonts w:ascii="黑体" w:eastAsia="黑体" w:hAnsi="黑体" w:hint="eastAsia"/>
        </w:rPr>
        <w:t>（2）传感器特性的影响</w:t>
      </w:r>
    </w:p>
    <w:p w14:paraId="41BE0CDA" w14:textId="3CA28299" w:rsidR="00EE63B2" w:rsidRDefault="00EE63B2" w:rsidP="00EE63B2">
      <w:pPr>
        <w:ind w:firstLineChars="0"/>
      </w:pPr>
      <w:r>
        <w:rPr>
          <w:rFonts w:hint="eastAsia"/>
        </w:rPr>
        <w:t>空间分辨率；辐射分辨率；光谱分辨率；时间分辨率；</w:t>
      </w:r>
    </w:p>
    <w:p w14:paraId="4178FE6D" w14:textId="7393C4A9" w:rsidR="00EE63B2" w:rsidRPr="00451762" w:rsidRDefault="00EE63B2" w:rsidP="00EE63B2">
      <w:pPr>
        <w:ind w:firstLineChars="0"/>
        <w:rPr>
          <w:rFonts w:ascii="黑体" w:eastAsia="黑体" w:hAnsi="黑体"/>
        </w:rPr>
      </w:pPr>
      <w:r w:rsidRPr="00451762">
        <w:rPr>
          <w:rFonts w:ascii="黑体" w:eastAsia="黑体" w:hAnsi="黑体" w:hint="eastAsia"/>
        </w:rPr>
        <w:t>（3）目视能力的影响</w:t>
      </w:r>
    </w:p>
    <w:p w14:paraId="06EC72B2" w14:textId="41F82B18" w:rsidR="00EE63B2" w:rsidRDefault="00EE63B2" w:rsidP="00EE63B2">
      <w:pPr>
        <w:ind w:firstLineChars="0"/>
      </w:pPr>
      <w:r>
        <w:rPr>
          <w:rFonts w:hint="eastAsia"/>
        </w:rPr>
        <w:t>包括对图像的空间分辨能力、灰阶分辨能力和</w:t>
      </w:r>
      <w:proofErr w:type="gramStart"/>
      <w:r>
        <w:rPr>
          <w:rFonts w:hint="eastAsia"/>
        </w:rPr>
        <w:t>色别</w:t>
      </w:r>
      <w:proofErr w:type="gramEnd"/>
      <w:r>
        <w:rPr>
          <w:rFonts w:hint="eastAsia"/>
        </w:rPr>
        <w:t>与色阶分辨能力。</w:t>
      </w:r>
    </w:p>
    <w:bookmarkEnd w:id="0"/>
    <w:p w14:paraId="052E1F60" w14:textId="77777777" w:rsidR="00EE63B2" w:rsidRPr="00262D28" w:rsidRDefault="00EE63B2" w:rsidP="00EE63B2">
      <w:pPr>
        <w:ind w:firstLineChars="0"/>
      </w:pPr>
    </w:p>
    <w:sectPr w:rsidR="00EE63B2" w:rsidRPr="00262D28" w:rsidSect="00703A1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21DE6" w14:textId="77777777" w:rsidR="00547E05" w:rsidRDefault="00547E05" w:rsidP="003658FD">
      <w:pPr>
        <w:spacing w:line="240" w:lineRule="auto"/>
        <w:ind w:firstLine="420"/>
      </w:pPr>
      <w:r>
        <w:separator/>
      </w:r>
    </w:p>
  </w:endnote>
  <w:endnote w:type="continuationSeparator" w:id="0">
    <w:p w14:paraId="1397F057" w14:textId="77777777" w:rsidR="00547E05" w:rsidRDefault="00547E05" w:rsidP="003658F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1A13" w14:textId="77777777" w:rsidR="000E5D8E" w:rsidRDefault="000E5D8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9C24C" w14:textId="77777777" w:rsidR="000E5D8E" w:rsidRDefault="000E5D8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8E36" w14:textId="77777777" w:rsidR="000E5D8E" w:rsidRDefault="000E5D8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D14F" w14:textId="77777777" w:rsidR="00547E05" w:rsidRDefault="00547E05" w:rsidP="003658FD">
      <w:pPr>
        <w:spacing w:line="240" w:lineRule="auto"/>
        <w:ind w:firstLine="420"/>
      </w:pPr>
      <w:r>
        <w:separator/>
      </w:r>
    </w:p>
  </w:footnote>
  <w:footnote w:type="continuationSeparator" w:id="0">
    <w:p w14:paraId="1C75E838" w14:textId="77777777" w:rsidR="00547E05" w:rsidRDefault="00547E05" w:rsidP="003658F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44FF" w14:textId="5AA250F1" w:rsidR="000E5D8E" w:rsidRDefault="000E5D8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441F2" w14:textId="2008261D" w:rsidR="000E5D8E" w:rsidRDefault="000E5D8E" w:rsidP="009F4360">
    <w:pPr>
      <w:pStyle w:val="a6"/>
      <w:ind w:firstLine="360"/>
    </w:pPr>
    <w:r>
      <w:rPr>
        <w:rFonts w:hint="eastAsia"/>
      </w:rPr>
      <w:t>第</w:t>
    </w:r>
    <w:r w:rsidR="008B1B36">
      <w:rPr>
        <w:rFonts w:hint="eastAsia"/>
      </w:rPr>
      <w:t>五章</w:t>
    </w:r>
    <w:r w:rsidR="008B1B36">
      <w:rPr>
        <w:rFonts w:hint="eastAsia"/>
      </w:rPr>
      <w:t xml:space="preserve"> </w:t>
    </w:r>
    <w:r w:rsidR="008B1B36">
      <w:rPr>
        <w:rFonts w:hint="eastAsia"/>
      </w:rPr>
      <w:t>遥感图像的目视解译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B200" w14:textId="47BDE260" w:rsidR="000E5D8E" w:rsidRDefault="000E5D8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907"/>
    <w:multiLevelType w:val="hybridMultilevel"/>
    <w:tmpl w:val="3CB0BB9A"/>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04F55B49"/>
    <w:multiLevelType w:val="hybridMultilevel"/>
    <w:tmpl w:val="8214D83A"/>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3039BB"/>
    <w:multiLevelType w:val="hybridMultilevel"/>
    <w:tmpl w:val="1A2441F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7A57C4"/>
    <w:multiLevelType w:val="hybridMultilevel"/>
    <w:tmpl w:val="93C6B29A"/>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6482069"/>
    <w:multiLevelType w:val="hybridMultilevel"/>
    <w:tmpl w:val="36641D72"/>
    <w:lvl w:ilvl="0" w:tplc="FD728E68">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0A896608"/>
    <w:multiLevelType w:val="hybridMultilevel"/>
    <w:tmpl w:val="230AA96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1B16282"/>
    <w:multiLevelType w:val="hybridMultilevel"/>
    <w:tmpl w:val="A812333E"/>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AE1648"/>
    <w:multiLevelType w:val="hybridMultilevel"/>
    <w:tmpl w:val="2070C02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3D6D4D"/>
    <w:multiLevelType w:val="hybridMultilevel"/>
    <w:tmpl w:val="04A461E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BE10E2"/>
    <w:multiLevelType w:val="hybridMultilevel"/>
    <w:tmpl w:val="B688FFD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DD1E17"/>
    <w:multiLevelType w:val="hybridMultilevel"/>
    <w:tmpl w:val="3F3EAA6E"/>
    <w:lvl w:ilvl="0" w:tplc="FD728E68">
      <w:start w:val="1"/>
      <w:numFmt w:val="bullet"/>
      <w:lvlText w:val=""/>
      <w:lvlJc w:val="left"/>
      <w:pPr>
        <w:ind w:left="618" w:hanging="420"/>
      </w:pPr>
      <w:rPr>
        <w:rFonts w:ascii="Wingdings" w:hAnsi="Wingdings" w:hint="default"/>
      </w:rPr>
    </w:lvl>
    <w:lvl w:ilvl="1" w:tplc="04090003" w:tentative="1">
      <w:start w:val="1"/>
      <w:numFmt w:val="bullet"/>
      <w:lvlText w:val=""/>
      <w:lvlJc w:val="left"/>
      <w:pPr>
        <w:ind w:left="1038" w:hanging="420"/>
      </w:pPr>
      <w:rPr>
        <w:rFonts w:ascii="Wingdings" w:hAnsi="Wingdings" w:hint="default"/>
      </w:rPr>
    </w:lvl>
    <w:lvl w:ilvl="2" w:tplc="04090005" w:tentative="1">
      <w:start w:val="1"/>
      <w:numFmt w:val="bullet"/>
      <w:lvlText w:val=""/>
      <w:lvlJc w:val="left"/>
      <w:pPr>
        <w:ind w:left="1458" w:hanging="420"/>
      </w:pPr>
      <w:rPr>
        <w:rFonts w:ascii="Wingdings" w:hAnsi="Wingdings" w:hint="default"/>
      </w:rPr>
    </w:lvl>
    <w:lvl w:ilvl="3" w:tplc="04090001" w:tentative="1">
      <w:start w:val="1"/>
      <w:numFmt w:val="bullet"/>
      <w:lvlText w:val=""/>
      <w:lvlJc w:val="left"/>
      <w:pPr>
        <w:ind w:left="1878" w:hanging="420"/>
      </w:pPr>
      <w:rPr>
        <w:rFonts w:ascii="Wingdings" w:hAnsi="Wingdings" w:hint="default"/>
      </w:rPr>
    </w:lvl>
    <w:lvl w:ilvl="4" w:tplc="04090003" w:tentative="1">
      <w:start w:val="1"/>
      <w:numFmt w:val="bullet"/>
      <w:lvlText w:val=""/>
      <w:lvlJc w:val="left"/>
      <w:pPr>
        <w:ind w:left="2298" w:hanging="420"/>
      </w:pPr>
      <w:rPr>
        <w:rFonts w:ascii="Wingdings" w:hAnsi="Wingdings" w:hint="default"/>
      </w:rPr>
    </w:lvl>
    <w:lvl w:ilvl="5" w:tplc="04090005" w:tentative="1">
      <w:start w:val="1"/>
      <w:numFmt w:val="bullet"/>
      <w:lvlText w:val=""/>
      <w:lvlJc w:val="left"/>
      <w:pPr>
        <w:ind w:left="2718" w:hanging="420"/>
      </w:pPr>
      <w:rPr>
        <w:rFonts w:ascii="Wingdings" w:hAnsi="Wingdings" w:hint="default"/>
      </w:rPr>
    </w:lvl>
    <w:lvl w:ilvl="6" w:tplc="04090001" w:tentative="1">
      <w:start w:val="1"/>
      <w:numFmt w:val="bullet"/>
      <w:lvlText w:val=""/>
      <w:lvlJc w:val="left"/>
      <w:pPr>
        <w:ind w:left="3138" w:hanging="420"/>
      </w:pPr>
      <w:rPr>
        <w:rFonts w:ascii="Wingdings" w:hAnsi="Wingdings" w:hint="default"/>
      </w:rPr>
    </w:lvl>
    <w:lvl w:ilvl="7" w:tplc="04090003" w:tentative="1">
      <w:start w:val="1"/>
      <w:numFmt w:val="bullet"/>
      <w:lvlText w:val=""/>
      <w:lvlJc w:val="left"/>
      <w:pPr>
        <w:ind w:left="3558" w:hanging="420"/>
      </w:pPr>
      <w:rPr>
        <w:rFonts w:ascii="Wingdings" w:hAnsi="Wingdings" w:hint="default"/>
      </w:rPr>
    </w:lvl>
    <w:lvl w:ilvl="8" w:tplc="04090005" w:tentative="1">
      <w:start w:val="1"/>
      <w:numFmt w:val="bullet"/>
      <w:lvlText w:val=""/>
      <w:lvlJc w:val="left"/>
      <w:pPr>
        <w:ind w:left="3978" w:hanging="420"/>
      </w:pPr>
      <w:rPr>
        <w:rFonts w:ascii="Wingdings" w:hAnsi="Wingdings" w:hint="default"/>
      </w:rPr>
    </w:lvl>
  </w:abstractNum>
  <w:abstractNum w:abstractNumId="11" w15:restartNumberingAfterBreak="0">
    <w:nsid w:val="24283EC9"/>
    <w:multiLevelType w:val="hybridMultilevel"/>
    <w:tmpl w:val="E9E6A526"/>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2" w15:restartNumberingAfterBreak="0">
    <w:nsid w:val="247728C3"/>
    <w:multiLevelType w:val="hybridMultilevel"/>
    <w:tmpl w:val="F09C3158"/>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3" w15:restartNumberingAfterBreak="0">
    <w:nsid w:val="277614E5"/>
    <w:multiLevelType w:val="hybridMultilevel"/>
    <w:tmpl w:val="56E26E08"/>
    <w:lvl w:ilvl="0" w:tplc="0409000B">
      <w:start w:val="1"/>
      <w:numFmt w:val="bullet"/>
      <w:lvlText w:val=""/>
      <w:lvlJc w:val="left"/>
      <w:pPr>
        <w:ind w:left="567" w:hanging="147"/>
      </w:pPr>
      <w:rPr>
        <w:rFonts w:ascii="Wingdings" w:hAnsi="Wingdings" w:hint="default"/>
      </w:rPr>
    </w:lvl>
    <w:lvl w:ilvl="1" w:tplc="FD728E68">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CE7133"/>
    <w:multiLevelType w:val="hybridMultilevel"/>
    <w:tmpl w:val="286E80EE"/>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ABF1A08"/>
    <w:multiLevelType w:val="hybridMultilevel"/>
    <w:tmpl w:val="9020B0C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2867DB3"/>
    <w:multiLevelType w:val="hybridMultilevel"/>
    <w:tmpl w:val="5FB06662"/>
    <w:lvl w:ilvl="0" w:tplc="FD728E68">
      <w:start w:val="1"/>
      <w:numFmt w:val="bullet"/>
      <w:lvlText w:val=""/>
      <w:lvlJc w:val="left"/>
      <w:pPr>
        <w:ind w:left="503" w:hanging="360"/>
      </w:pPr>
      <w:rPr>
        <w:rFonts w:ascii="Wingdings" w:hAnsi="Wingdings" w:hint="default"/>
      </w:rPr>
    </w:lvl>
    <w:lvl w:ilvl="1" w:tplc="0409000B">
      <w:start w:val="1"/>
      <w:numFmt w:val="bullet"/>
      <w:lvlText w:val=""/>
      <w:lvlJc w:val="left"/>
      <w:pPr>
        <w:ind w:left="983" w:hanging="420"/>
      </w:pPr>
      <w:rPr>
        <w:rFonts w:ascii="Wingdings" w:hAnsi="Wingdings" w:hint="default"/>
      </w:r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17" w15:restartNumberingAfterBreak="0">
    <w:nsid w:val="34560228"/>
    <w:multiLevelType w:val="hybridMultilevel"/>
    <w:tmpl w:val="BA36487A"/>
    <w:lvl w:ilvl="0" w:tplc="AB102EA4">
      <w:start w:val="1"/>
      <w:numFmt w:val="bullet"/>
      <w:lvlText w:val=""/>
      <w:lvlJc w:val="left"/>
      <w:pPr>
        <w:ind w:left="987" w:hanging="147"/>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56229CF"/>
    <w:multiLevelType w:val="hybridMultilevel"/>
    <w:tmpl w:val="3D289A3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FD1B3C"/>
    <w:multiLevelType w:val="hybridMultilevel"/>
    <w:tmpl w:val="E4BA5C02"/>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15:restartNumberingAfterBreak="0">
    <w:nsid w:val="3D8D78EA"/>
    <w:multiLevelType w:val="hybridMultilevel"/>
    <w:tmpl w:val="0DDAB12C"/>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1" w15:restartNumberingAfterBreak="0">
    <w:nsid w:val="3DB87598"/>
    <w:multiLevelType w:val="hybridMultilevel"/>
    <w:tmpl w:val="22CC6A56"/>
    <w:lvl w:ilvl="0" w:tplc="AB102EA4">
      <w:start w:val="1"/>
      <w:numFmt w:val="bullet"/>
      <w:lvlText w:val=""/>
      <w:lvlJc w:val="left"/>
      <w:pPr>
        <w:ind w:left="987" w:hanging="147"/>
      </w:pPr>
      <w:rPr>
        <w:rFonts w:ascii="Wingdings" w:hAnsi="Wingdings" w:hint="default"/>
      </w:rPr>
    </w:lvl>
    <w:lvl w:ilvl="1" w:tplc="FD728E68">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E9F1938"/>
    <w:multiLevelType w:val="hybridMultilevel"/>
    <w:tmpl w:val="76A06B1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0FB2705"/>
    <w:multiLevelType w:val="hybridMultilevel"/>
    <w:tmpl w:val="60203F3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89D6235"/>
    <w:multiLevelType w:val="hybridMultilevel"/>
    <w:tmpl w:val="216A23BE"/>
    <w:lvl w:ilvl="0" w:tplc="121AC870">
      <w:start w:val="1"/>
      <w:numFmt w:val="bullet"/>
      <w:lvlText w:val=""/>
      <w:lvlJc w:val="left"/>
      <w:pPr>
        <w:ind w:left="567" w:hanging="145"/>
      </w:pPr>
      <w:rPr>
        <w:rFonts w:ascii="Wingdings" w:hAnsi="Wingdings" w:hint="default"/>
      </w:rPr>
    </w:lvl>
    <w:lvl w:ilvl="1" w:tplc="FD728E68">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9F73B9C"/>
    <w:multiLevelType w:val="hybridMultilevel"/>
    <w:tmpl w:val="1B68C85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B1C30F8"/>
    <w:multiLevelType w:val="hybridMultilevel"/>
    <w:tmpl w:val="8EEA1E64"/>
    <w:lvl w:ilvl="0" w:tplc="FD728E68">
      <w:start w:val="1"/>
      <w:numFmt w:val="bullet"/>
      <w:lvlText w:val=""/>
      <w:lvlJc w:val="left"/>
      <w:pPr>
        <w:ind w:left="618" w:hanging="420"/>
      </w:pPr>
      <w:rPr>
        <w:rFonts w:ascii="Wingdings" w:hAnsi="Wingdings" w:hint="default"/>
      </w:rPr>
    </w:lvl>
    <w:lvl w:ilvl="1" w:tplc="04090003" w:tentative="1">
      <w:start w:val="1"/>
      <w:numFmt w:val="bullet"/>
      <w:lvlText w:val=""/>
      <w:lvlJc w:val="left"/>
      <w:pPr>
        <w:ind w:left="1038" w:hanging="420"/>
      </w:pPr>
      <w:rPr>
        <w:rFonts w:ascii="Wingdings" w:hAnsi="Wingdings" w:hint="default"/>
      </w:rPr>
    </w:lvl>
    <w:lvl w:ilvl="2" w:tplc="04090005" w:tentative="1">
      <w:start w:val="1"/>
      <w:numFmt w:val="bullet"/>
      <w:lvlText w:val=""/>
      <w:lvlJc w:val="left"/>
      <w:pPr>
        <w:ind w:left="1458" w:hanging="420"/>
      </w:pPr>
      <w:rPr>
        <w:rFonts w:ascii="Wingdings" w:hAnsi="Wingdings" w:hint="default"/>
      </w:rPr>
    </w:lvl>
    <w:lvl w:ilvl="3" w:tplc="04090001" w:tentative="1">
      <w:start w:val="1"/>
      <w:numFmt w:val="bullet"/>
      <w:lvlText w:val=""/>
      <w:lvlJc w:val="left"/>
      <w:pPr>
        <w:ind w:left="1878" w:hanging="420"/>
      </w:pPr>
      <w:rPr>
        <w:rFonts w:ascii="Wingdings" w:hAnsi="Wingdings" w:hint="default"/>
      </w:rPr>
    </w:lvl>
    <w:lvl w:ilvl="4" w:tplc="04090003" w:tentative="1">
      <w:start w:val="1"/>
      <w:numFmt w:val="bullet"/>
      <w:lvlText w:val=""/>
      <w:lvlJc w:val="left"/>
      <w:pPr>
        <w:ind w:left="2298" w:hanging="420"/>
      </w:pPr>
      <w:rPr>
        <w:rFonts w:ascii="Wingdings" w:hAnsi="Wingdings" w:hint="default"/>
      </w:rPr>
    </w:lvl>
    <w:lvl w:ilvl="5" w:tplc="04090005" w:tentative="1">
      <w:start w:val="1"/>
      <w:numFmt w:val="bullet"/>
      <w:lvlText w:val=""/>
      <w:lvlJc w:val="left"/>
      <w:pPr>
        <w:ind w:left="2718" w:hanging="420"/>
      </w:pPr>
      <w:rPr>
        <w:rFonts w:ascii="Wingdings" w:hAnsi="Wingdings" w:hint="default"/>
      </w:rPr>
    </w:lvl>
    <w:lvl w:ilvl="6" w:tplc="04090001" w:tentative="1">
      <w:start w:val="1"/>
      <w:numFmt w:val="bullet"/>
      <w:lvlText w:val=""/>
      <w:lvlJc w:val="left"/>
      <w:pPr>
        <w:ind w:left="3138" w:hanging="420"/>
      </w:pPr>
      <w:rPr>
        <w:rFonts w:ascii="Wingdings" w:hAnsi="Wingdings" w:hint="default"/>
      </w:rPr>
    </w:lvl>
    <w:lvl w:ilvl="7" w:tplc="04090003" w:tentative="1">
      <w:start w:val="1"/>
      <w:numFmt w:val="bullet"/>
      <w:lvlText w:val=""/>
      <w:lvlJc w:val="left"/>
      <w:pPr>
        <w:ind w:left="3558" w:hanging="420"/>
      </w:pPr>
      <w:rPr>
        <w:rFonts w:ascii="Wingdings" w:hAnsi="Wingdings" w:hint="default"/>
      </w:rPr>
    </w:lvl>
    <w:lvl w:ilvl="8" w:tplc="04090005" w:tentative="1">
      <w:start w:val="1"/>
      <w:numFmt w:val="bullet"/>
      <w:lvlText w:val=""/>
      <w:lvlJc w:val="left"/>
      <w:pPr>
        <w:ind w:left="3978" w:hanging="420"/>
      </w:pPr>
      <w:rPr>
        <w:rFonts w:ascii="Wingdings" w:hAnsi="Wingdings" w:hint="default"/>
      </w:rPr>
    </w:lvl>
  </w:abstractNum>
  <w:abstractNum w:abstractNumId="27" w15:restartNumberingAfterBreak="0">
    <w:nsid w:val="4D1D1963"/>
    <w:multiLevelType w:val="hybridMultilevel"/>
    <w:tmpl w:val="068A2CE6"/>
    <w:lvl w:ilvl="0" w:tplc="6EFE679A">
      <w:start w:val="1"/>
      <w:numFmt w:val="decimalEnclosedCircle"/>
      <w:lvlText w:val="%1"/>
      <w:lvlJc w:val="left"/>
      <w:pPr>
        <w:ind w:left="503" w:hanging="360"/>
      </w:pPr>
      <w:rPr>
        <w:rFonts w:hint="default"/>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28" w15:restartNumberingAfterBreak="0">
    <w:nsid w:val="4DE16361"/>
    <w:multiLevelType w:val="hybridMultilevel"/>
    <w:tmpl w:val="B9127538"/>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FB640A5"/>
    <w:multiLevelType w:val="hybridMultilevel"/>
    <w:tmpl w:val="7902A9E2"/>
    <w:lvl w:ilvl="0" w:tplc="0409000F">
      <w:start w:val="1"/>
      <w:numFmt w:val="decimal"/>
      <w:lvlText w:val="%1."/>
      <w:lvlJc w:val="left"/>
      <w:pPr>
        <w:ind w:left="563" w:hanging="420"/>
      </w:p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30" w15:restartNumberingAfterBreak="0">
    <w:nsid w:val="509D6E63"/>
    <w:multiLevelType w:val="hybridMultilevel"/>
    <w:tmpl w:val="5AE0D024"/>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1" w15:restartNumberingAfterBreak="0">
    <w:nsid w:val="51DF1532"/>
    <w:multiLevelType w:val="hybridMultilevel"/>
    <w:tmpl w:val="904AD5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5880041"/>
    <w:multiLevelType w:val="hybridMultilevel"/>
    <w:tmpl w:val="DDB62122"/>
    <w:lvl w:ilvl="0" w:tplc="FD728E68">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33" w15:restartNumberingAfterBreak="0">
    <w:nsid w:val="55B24E25"/>
    <w:multiLevelType w:val="hybridMultilevel"/>
    <w:tmpl w:val="06A08694"/>
    <w:lvl w:ilvl="0" w:tplc="82E40DE2">
      <w:start w:val="1"/>
      <w:numFmt w:val="bullet"/>
      <w:lvlText w:val=""/>
      <w:lvlJc w:val="left"/>
      <w:pPr>
        <w:ind w:left="567" w:firstLine="273"/>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7616608"/>
    <w:multiLevelType w:val="hybridMultilevel"/>
    <w:tmpl w:val="3FDAEB48"/>
    <w:lvl w:ilvl="0" w:tplc="AB102EA4">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AF0F5B"/>
    <w:multiLevelType w:val="hybridMultilevel"/>
    <w:tmpl w:val="467C5576"/>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6" w15:restartNumberingAfterBreak="0">
    <w:nsid w:val="6BA55CB5"/>
    <w:multiLevelType w:val="hybridMultilevel"/>
    <w:tmpl w:val="C838B03A"/>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7" w15:restartNumberingAfterBreak="0">
    <w:nsid w:val="7696323A"/>
    <w:multiLevelType w:val="hybridMultilevel"/>
    <w:tmpl w:val="52A4B17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AD45E9"/>
    <w:multiLevelType w:val="hybridMultilevel"/>
    <w:tmpl w:val="95CC5AA6"/>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5"/>
  </w:num>
  <w:num w:numId="2">
    <w:abstractNumId w:val="23"/>
  </w:num>
  <w:num w:numId="3">
    <w:abstractNumId w:val="25"/>
  </w:num>
  <w:num w:numId="4">
    <w:abstractNumId w:val="14"/>
  </w:num>
  <w:num w:numId="5">
    <w:abstractNumId w:val="0"/>
  </w:num>
  <w:num w:numId="6">
    <w:abstractNumId w:val="3"/>
  </w:num>
  <w:num w:numId="7">
    <w:abstractNumId w:val="32"/>
  </w:num>
  <w:num w:numId="8">
    <w:abstractNumId w:val="35"/>
  </w:num>
  <w:num w:numId="9">
    <w:abstractNumId w:val="26"/>
  </w:num>
  <w:num w:numId="10">
    <w:abstractNumId w:val="9"/>
  </w:num>
  <w:num w:numId="11">
    <w:abstractNumId w:val="38"/>
  </w:num>
  <w:num w:numId="12">
    <w:abstractNumId w:val="12"/>
  </w:num>
  <w:num w:numId="13">
    <w:abstractNumId w:val="30"/>
  </w:num>
  <w:num w:numId="14">
    <w:abstractNumId w:val="24"/>
  </w:num>
  <w:num w:numId="15">
    <w:abstractNumId w:val="2"/>
  </w:num>
  <w:num w:numId="16">
    <w:abstractNumId w:val="13"/>
  </w:num>
  <w:num w:numId="17">
    <w:abstractNumId w:val="7"/>
  </w:num>
  <w:num w:numId="18">
    <w:abstractNumId w:val="37"/>
  </w:num>
  <w:num w:numId="19">
    <w:abstractNumId w:val="22"/>
  </w:num>
  <w:num w:numId="20">
    <w:abstractNumId w:val="34"/>
  </w:num>
  <w:num w:numId="21">
    <w:abstractNumId w:val="17"/>
  </w:num>
  <w:num w:numId="22">
    <w:abstractNumId w:val="21"/>
  </w:num>
  <w:num w:numId="23">
    <w:abstractNumId w:val="33"/>
  </w:num>
  <w:num w:numId="24">
    <w:abstractNumId w:val="15"/>
  </w:num>
  <w:num w:numId="25">
    <w:abstractNumId w:val="18"/>
  </w:num>
  <w:num w:numId="26">
    <w:abstractNumId w:val="1"/>
  </w:num>
  <w:num w:numId="27">
    <w:abstractNumId w:val="31"/>
  </w:num>
  <w:num w:numId="28">
    <w:abstractNumId w:val="28"/>
  </w:num>
  <w:num w:numId="29">
    <w:abstractNumId w:val="4"/>
  </w:num>
  <w:num w:numId="30">
    <w:abstractNumId w:val="19"/>
  </w:num>
  <w:num w:numId="31">
    <w:abstractNumId w:val="10"/>
  </w:num>
  <w:num w:numId="32">
    <w:abstractNumId w:val="8"/>
  </w:num>
  <w:num w:numId="33">
    <w:abstractNumId w:val="6"/>
  </w:num>
  <w:num w:numId="34">
    <w:abstractNumId w:val="29"/>
  </w:num>
  <w:num w:numId="35">
    <w:abstractNumId w:val="27"/>
  </w:num>
  <w:num w:numId="36">
    <w:abstractNumId w:val="16"/>
  </w:num>
  <w:num w:numId="37">
    <w:abstractNumId w:val="11"/>
  </w:num>
  <w:num w:numId="38">
    <w:abstractNumId w:val="20"/>
  </w:num>
  <w:num w:numId="3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BA"/>
    <w:rsid w:val="000046DC"/>
    <w:rsid w:val="00004E56"/>
    <w:rsid w:val="00016CCD"/>
    <w:rsid w:val="00020D69"/>
    <w:rsid w:val="00027425"/>
    <w:rsid w:val="00027E79"/>
    <w:rsid w:val="00032E2C"/>
    <w:rsid w:val="00033D30"/>
    <w:rsid w:val="00035F68"/>
    <w:rsid w:val="000461B7"/>
    <w:rsid w:val="0004648C"/>
    <w:rsid w:val="0005367C"/>
    <w:rsid w:val="00061AD1"/>
    <w:rsid w:val="0006641F"/>
    <w:rsid w:val="00067EE1"/>
    <w:rsid w:val="000706AA"/>
    <w:rsid w:val="00070E81"/>
    <w:rsid w:val="00071A70"/>
    <w:rsid w:val="00072763"/>
    <w:rsid w:val="00072D0F"/>
    <w:rsid w:val="000736BF"/>
    <w:rsid w:val="000849E0"/>
    <w:rsid w:val="000866BC"/>
    <w:rsid w:val="000939E1"/>
    <w:rsid w:val="000949A9"/>
    <w:rsid w:val="00094F40"/>
    <w:rsid w:val="000A363B"/>
    <w:rsid w:val="000A5082"/>
    <w:rsid w:val="000A6436"/>
    <w:rsid w:val="000A7953"/>
    <w:rsid w:val="000B649F"/>
    <w:rsid w:val="000B7989"/>
    <w:rsid w:val="000D1539"/>
    <w:rsid w:val="000D27FB"/>
    <w:rsid w:val="000D29F7"/>
    <w:rsid w:val="000D6877"/>
    <w:rsid w:val="000E11E6"/>
    <w:rsid w:val="000E2214"/>
    <w:rsid w:val="000E3B7F"/>
    <w:rsid w:val="000E3E47"/>
    <w:rsid w:val="000E5D8E"/>
    <w:rsid w:val="000E5E7B"/>
    <w:rsid w:val="000E6A7E"/>
    <w:rsid w:val="000F0CC5"/>
    <w:rsid w:val="000F1E85"/>
    <w:rsid w:val="0010200F"/>
    <w:rsid w:val="00103A5F"/>
    <w:rsid w:val="001112EB"/>
    <w:rsid w:val="00115D41"/>
    <w:rsid w:val="00117C1D"/>
    <w:rsid w:val="001205E4"/>
    <w:rsid w:val="0012064D"/>
    <w:rsid w:val="00142DF4"/>
    <w:rsid w:val="00147B57"/>
    <w:rsid w:val="0015166F"/>
    <w:rsid w:val="00152B75"/>
    <w:rsid w:val="00152BBC"/>
    <w:rsid w:val="001574F0"/>
    <w:rsid w:val="001738E3"/>
    <w:rsid w:val="00180BAF"/>
    <w:rsid w:val="00181CE4"/>
    <w:rsid w:val="00186E03"/>
    <w:rsid w:val="00186FFE"/>
    <w:rsid w:val="001905BA"/>
    <w:rsid w:val="00196B69"/>
    <w:rsid w:val="00197B00"/>
    <w:rsid w:val="001A1B60"/>
    <w:rsid w:val="001A699C"/>
    <w:rsid w:val="001A7E95"/>
    <w:rsid w:val="001B7ACA"/>
    <w:rsid w:val="001C12BD"/>
    <w:rsid w:val="001C2245"/>
    <w:rsid w:val="001C22FD"/>
    <w:rsid w:val="001C562E"/>
    <w:rsid w:val="001D07A0"/>
    <w:rsid w:val="001D1E6C"/>
    <w:rsid w:val="001D2DDE"/>
    <w:rsid w:val="001D668E"/>
    <w:rsid w:val="001D7286"/>
    <w:rsid w:val="001D76B5"/>
    <w:rsid w:val="001F2EAF"/>
    <w:rsid w:val="001F42BC"/>
    <w:rsid w:val="001F5F90"/>
    <w:rsid w:val="00206F52"/>
    <w:rsid w:val="00211AAB"/>
    <w:rsid w:val="0021226D"/>
    <w:rsid w:val="00212AD3"/>
    <w:rsid w:val="00213B61"/>
    <w:rsid w:val="002177B6"/>
    <w:rsid w:val="00223331"/>
    <w:rsid w:val="00226719"/>
    <w:rsid w:val="00231223"/>
    <w:rsid w:val="00232263"/>
    <w:rsid w:val="002336A3"/>
    <w:rsid w:val="002339C5"/>
    <w:rsid w:val="00237E50"/>
    <w:rsid w:val="00241BEB"/>
    <w:rsid w:val="0024534D"/>
    <w:rsid w:val="002508F5"/>
    <w:rsid w:val="00251FE9"/>
    <w:rsid w:val="00262D28"/>
    <w:rsid w:val="0026752D"/>
    <w:rsid w:val="00271401"/>
    <w:rsid w:val="00272173"/>
    <w:rsid w:val="00287CE3"/>
    <w:rsid w:val="0029353E"/>
    <w:rsid w:val="00293C01"/>
    <w:rsid w:val="002964DD"/>
    <w:rsid w:val="002B012C"/>
    <w:rsid w:val="002C1CFA"/>
    <w:rsid w:val="002C22CF"/>
    <w:rsid w:val="002C5F24"/>
    <w:rsid w:val="002C75A9"/>
    <w:rsid w:val="002D1737"/>
    <w:rsid w:val="002D5730"/>
    <w:rsid w:val="002D6490"/>
    <w:rsid w:val="002D6856"/>
    <w:rsid w:val="002E31D1"/>
    <w:rsid w:val="002E35F8"/>
    <w:rsid w:val="002E7009"/>
    <w:rsid w:val="002F7403"/>
    <w:rsid w:val="003015D3"/>
    <w:rsid w:val="00305231"/>
    <w:rsid w:val="0031005E"/>
    <w:rsid w:val="003123A1"/>
    <w:rsid w:val="003248C4"/>
    <w:rsid w:val="00331AE6"/>
    <w:rsid w:val="00333470"/>
    <w:rsid w:val="00334136"/>
    <w:rsid w:val="00334A7B"/>
    <w:rsid w:val="003418B5"/>
    <w:rsid w:val="00342098"/>
    <w:rsid w:val="00343EFA"/>
    <w:rsid w:val="00345F98"/>
    <w:rsid w:val="00346BA0"/>
    <w:rsid w:val="00351F19"/>
    <w:rsid w:val="0035521E"/>
    <w:rsid w:val="00356464"/>
    <w:rsid w:val="00360DDB"/>
    <w:rsid w:val="00364998"/>
    <w:rsid w:val="003658FD"/>
    <w:rsid w:val="003706DC"/>
    <w:rsid w:val="00374F32"/>
    <w:rsid w:val="00376422"/>
    <w:rsid w:val="00380C39"/>
    <w:rsid w:val="00386E07"/>
    <w:rsid w:val="003922BC"/>
    <w:rsid w:val="003927D8"/>
    <w:rsid w:val="00392A38"/>
    <w:rsid w:val="00394E0B"/>
    <w:rsid w:val="00396386"/>
    <w:rsid w:val="003A090E"/>
    <w:rsid w:val="003A43E4"/>
    <w:rsid w:val="003B1349"/>
    <w:rsid w:val="003B244E"/>
    <w:rsid w:val="003B25C4"/>
    <w:rsid w:val="003C0B08"/>
    <w:rsid w:val="003C281D"/>
    <w:rsid w:val="003C34AA"/>
    <w:rsid w:val="003C5646"/>
    <w:rsid w:val="003C5C1D"/>
    <w:rsid w:val="003C79F5"/>
    <w:rsid w:val="003D0249"/>
    <w:rsid w:val="003D2E38"/>
    <w:rsid w:val="003D5650"/>
    <w:rsid w:val="003E2DD1"/>
    <w:rsid w:val="003E3FC4"/>
    <w:rsid w:val="003E70A6"/>
    <w:rsid w:val="004005EA"/>
    <w:rsid w:val="004049A7"/>
    <w:rsid w:val="00406D9B"/>
    <w:rsid w:val="00407828"/>
    <w:rsid w:val="00407B27"/>
    <w:rsid w:val="004222BC"/>
    <w:rsid w:val="0042353D"/>
    <w:rsid w:val="00434EEA"/>
    <w:rsid w:val="00436622"/>
    <w:rsid w:val="004406ED"/>
    <w:rsid w:val="004448C6"/>
    <w:rsid w:val="004449F5"/>
    <w:rsid w:val="00451762"/>
    <w:rsid w:val="0045350A"/>
    <w:rsid w:val="0045457F"/>
    <w:rsid w:val="004566EC"/>
    <w:rsid w:val="00457164"/>
    <w:rsid w:val="0046717E"/>
    <w:rsid w:val="004720FA"/>
    <w:rsid w:val="00472F13"/>
    <w:rsid w:val="00480A71"/>
    <w:rsid w:val="00483B26"/>
    <w:rsid w:val="00491BCD"/>
    <w:rsid w:val="00496071"/>
    <w:rsid w:val="004A1D44"/>
    <w:rsid w:val="004A2A2D"/>
    <w:rsid w:val="004A4BA9"/>
    <w:rsid w:val="004A5483"/>
    <w:rsid w:val="004A54B0"/>
    <w:rsid w:val="004B04EF"/>
    <w:rsid w:val="004B16F1"/>
    <w:rsid w:val="004B2727"/>
    <w:rsid w:val="004C2079"/>
    <w:rsid w:val="004D01C8"/>
    <w:rsid w:val="004D2253"/>
    <w:rsid w:val="004D512E"/>
    <w:rsid w:val="004E58D6"/>
    <w:rsid w:val="004F2758"/>
    <w:rsid w:val="00501DAB"/>
    <w:rsid w:val="00502B72"/>
    <w:rsid w:val="00502EF5"/>
    <w:rsid w:val="0050526D"/>
    <w:rsid w:val="0050741A"/>
    <w:rsid w:val="0051039A"/>
    <w:rsid w:val="005128B8"/>
    <w:rsid w:val="0051449C"/>
    <w:rsid w:val="00514A0F"/>
    <w:rsid w:val="00515184"/>
    <w:rsid w:val="00516910"/>
    <w:rsid w:val="0051783B"/>
    <w:rsid w:val="00517F7C"/>
    <w:rsid w:val="005243AF"/>
    <w:rsid w:val="005255D2"/>
    <w:rsid w:val="00531230"/>
    <w:rsid w:val="005330CF"/>
    <w:rsid w:val="00535379"/>
    <w:rsid w:val="00536440"/>
    <w:rsid w:val="00540977"/>
    <w:rsid w:val="00542071"/>
    <w:rsid w:val="00542FD1"/>
    <w:rsid w:val="0054748D"/>
    <w:rsid w:val="00547E05"/>
    <w:rsid w:val="00551D24"/>
    <w:rsid w:val="005539BA"/>
    <w:rsid w:val="005609DA"/>
    <w:rsid w:val="005612F9"/>
    <w:rsid w:val="00563971"/>
    <w:rsid w:val="0056699B"/>
    <w:rsid w:val="00566E91"/>
    <w:rsid w:val="00570F8F"/>
    <w:rsid w:val="00571786"/>
    <w:rsid w:val="005719D6"/>
    <w:rsid w:val="005737B8"/>
    <w:rsid w:val="00590545"/>
    <w:rsid w:val="00591017"/>
    <w:rsid w:val="00594908"/>
    <w:rsid w:val="005B1C3B"/>
    <w:rsid w:val="005B3070"/>
    <w:rsid w:val="005C3221"/>
    <w:rsid w:val="005C44B7"/>
    <w:rsid w:val="005D07B1"/>
    <w:rsid w:val="005D19A0"/>
    <w:rsid w:val="005D226F"/>
    <w:rsid w:val="005D6B50"/>
    <w:rsid w:val="005D7E44"/>
    <w:rsid w:val="005E1FBF"/>
    <w:rsid w:val="005E229F"/>
    <w:rsid w:val="005E2EB8"/>
    <w:rsid w:val="005F14F4"/>
    <w:rsid w:val="005F644A"/>
    <w:rsid w:val="00603989"/>
    <w:rsid w:val="00603CD5"/>
    <w:rsid w:val="00606E3E"/>
    <w:rsid w:val="0061321C"/>
    <w:rsid w:val="0061383B"/>
    <w:rsid w:val="00621A55"/>
    <w:rsid w:val="00625EA5"/>
    <w:rsid w:val="00626F75"/>
    <w:rsid w:val="00641CCF"/>
    <w:rsid w:val="00644768"/>
    <w:rsid w:val="00646608"/>
    <w:rsid w:val="00650565"/>
    <w:rsid w:val="006517AC"/>
    <w:rsid w:val="006555FF"/>
    <w:rsid w:val="00656AB6"/>
    <w:rsid w:val="00662B5F"/>
    <w:rsid w:val="00664494"/>
    <w:rsid w:val="006651D4"/>
    <w:rsid w:val="006745AF"/>
    <w:rsid w:val="00675F7B"/>
    <w:rsid w:val="0068113E"/>
    <w:rsid w:val="00681DEC"/>
    <w:rsid w:val="00684972"/>
    <w:rsid w:val="00685C28"/>
    <w:rsid w:val="00686A7A"/>
    <w:rsid w:val="006924EE"/>
    <w:rsid w:val="00692B01"/>
    <w:rsid w:val="006A0592"/>
    <w:rsid w:val="006B3611"/>
    <w:rsid w:val="006C1924"/>
    <w:rsid w:val="006C50A3"/>
    <w:rsid w:val="006C529E"/>
    <w:rsid w:val="006C54DD"/>
    <w:rsid w:val="006E69DE"/>
    <w:rsid w:val="006F0EDA"/>
    <w:rsid w:val="006F14A5"/>
    <w:rsid w:val="006F342E"/>
    <w:rsid w:val="00700616"/>
    <w:rsid w:val="00700F95"/>
    <w:rsid w:val="007039A3"/>
    <w:rsid w:val="00703A11"/>
    <w:rsid w:val="00703C3D"/>
    <w:rsid w:val="00703E1F"/>
    <w:rsid w:val="00712ED3"/>
    <w:rsid w:val="0072088E"/>
    <w:rsid w:val="007226EE"/>
    <w:rsid w:val="00723FED"/>
    <w:rsid w:val="00731A90"/>
    <w:rsid w:val="00732C6C"/>
    <w:rsid w:val="0073348D"/>
    <w:rsid w:val="00740314"/>
    <w:rsid w:val="00745AB6"/>
    <w:rsid w:val="0074702A"/>
    <w:rsid w:val="00752C31"/>
    <w:rsid w:val="00752C9E"/>
    <w:rsid w:val="00763208"/>
    <w:rsid w:val="0076698C"/>
    <w:rsid w:val="00773D65"/>
    <w:rsid w:val="00774305"/>
    <w:rsid w:val="007814E4"/>
    <w:rsid w:val="007835CE"/>
    <w:rsid w:val="00783777"/>
    <w:rsid w:val="007860D1"/>
    <w:rsid w:val="007869D5"/>
    <w:rsid w:val="00787A0A"/>
    <w:rsid w:val="007A49EF"/>
    <w:rsid w:val="007B0007"/>
    <w:rsid w:val="007B01F6"/>
    <w:rsid w:val="007B0FAE"/>
    <w:rsid w:val="007C3579"/>
    <w:rsid w:val="007C35A1"/>
    <w:rsid w:val="007C45D1"/>
    <w:rsid w:val="007C5C6E"/>
    <w:rsid w:val="007C5EA7"/>
    <w:rsid w:val="007D1FD3"/>
    <w:rsid w:val="007D4666"/>
    <w:rsid w:val="007D4B1A"/>
    <w:rsid w:val="007E6E2F"/>
    <w:rsid w:val="007F72B4"/>
    <w:rsid w:val="007F7680"/>
    <w:rsid w:val="00800895"/>
    <w:rsid w:val="008073D5"/>
    <w:rsid w:val="008079DA"/>
    <w:rsid w:val="008103CC"/>
    <w:rsid w:val="00811B4C"/>
    <w:rsid w:val="0082345C"/>
    <w:rsid w:val="00823C2E"/>
    <w:rsid w:val="00827D23"/>
    <w:rsid w:val="00830AAE"/>
    <w:rsid w:val="00847850"/>
    <w:rsid w:val="008613B6"/>
    <w:rsid w:val="00862269"/>
    <w:rsid w:val="008630D6"/>
    <w:rsid w:val="00867F57"/>
    <w:rsid w:val="00870B48"/>
    <w:rsid w:val="0088021E"/>
    <w:rsid w:val="00880685"/>
    <w:rsid w:val="0088233E"/>
    <w:rsid w:val="00883311"/>
    <w:rsid w:val="00885F13"/>
    <w:rsid w:val="00886088"/>
    <w:rsid w:val="00890873"/>
    <w:rsid w:val="00893CF9"/>
    <w:rsid w:val="00895BC7"/>
    <w:rsid w:val="008960D9"/>
    <w:rsid w:val="008A0DB4"/>
    <w:rsid w:val="008B00F0"/>
    <w:rsid w:val="008B1B36"/>
    <w:rsid w:val="008B5BA7"/>
    <w:rsid w:val="008B5EF6"/>
    <w:rsid w:val="008B6B59"/>
    <w:rsid w:val="008C4FBE"/>
    <w:rsid w:val="008C5B35"/>
    <w:rsid w:val="008C7187"/>
    <w:rsid w:val="008C7BB1"/>
    <w:rsid w:val="008D28D3"/>
    <w:rsid w:val="008D4A01"/>
    <w:rsid w:val="008D5C36"/>
    <w:rsid w:val="008E0C72"/>
    <w:rsid w:val="008E776A"/>
    <w:rsid w:val="008F160A"/>
    <w:rsid w:val="008F1DAE"/>
    <w:rsid w:val="008F25E8"/>
    <w:rsid w:val="009006FF"/>
    <w:rsid w:val="00900AE7"/>
    <w:rsid w:val="00901B43"/>
    <w:rsid w:val="009034E5"/>
    <w:rsid w:val="0091413B"/>
    <w:rsid w:val="009245BA"/>
    <w:rsid w:val="00930223"/>
    <w:rsid w:val="009370DF"/>
    <w:rsid w:val="00937509"/>
    <w:rsid w:val="00945115"/>
    <w:rsid w:val="00945EE4"/>
    <w:rsid w:val="00946A30"/>
    <w:rsid w:val="009507A4"/>
    <w:rsid w:val="00952089"/>
    <w:rsid w:val="009543BE"/>
    <w:rsid w:val="00954450"/>
    <w:rsid w:val="00960964"/>
    <w:rsid w:val="00962C30"/>
    <w:rsid w:val="00964A0F"/>
    <w:rsid w:val="00972A3D"/>
    <w:rsid w:val="00984B1F"/>
    <w:rsid w:val="00984F39"/>
    <w:rsid w:val="00991249"/>
    <w:rsid w:val="00992B7A"/>
    <w:rsid w:val="009944EB"/>
    <w:rsid w:val="009A154F"/>
    <w:rsid w:val="009A751F"/>
    <w:rsid w:val="009B07F1"/>
    <w:rsid w:val="009B41D7"/>
    <w:rsid w:val="009B55AC"/>
    <w:rsid w:val="009C058D"/>
    <w:rsid w:val="009C7023"/>
    <w:rsid w:val="009D7D3E"/>
    <w:rsid w:val="009D7E24"/>
    <w:rsid w:val="009E0711"/>
    <w:rsid w:val="009E4D5E"/>
    <w:rsid w:val="009F1612"/>
    <w:rsid w:val="009F4360"/>
    <w:rsid w:val="009F6670"/>
    <w:rsid w:val="00A02BED"/>
    <w:rsid w:val="00A07B2E"/>
    <w:rsid w:val="00A104E4"/>
    <w:rsid w:val="00A12ADA"/>
    <w:rsid w:val="00A20F10"/>
    <w:rsid w:val="00A2451E"/>
    <w:rsid w:val="00A26C6A"/>
    <w:rsid w:val="00A3269C"/>
    <w:rsid w:val="00A378FD"/>
    <w:rsid w:val="00A405E9"/>
    <w:rsid w:val="00A43989"/>
    <w:rsid w:val="00A44137"/>
    <w:rsid w:val="00A44E4E"/>
    <w:rsid w:val="00A5272F"/>
    <w:rsid w:val="00A610A5"/>
    <w:rsid w:val="00A62499"/>
    <w:rsid w:val="00A66575"/>
    <w:rsid w:val="00A67207"/>
    <w:rsid w:val="00A67EAA"/>
    <w:rsid w:val="00A707BC"/>
    <w:rsid w:val="00A747C0"/>
    <w:rsid w:val="00A766F9"/>
    <w:rsid w:val="00A76FBC"/>
    <w:rsid w:val="00A7707D"/>
    <w:rsid w:val="00A80D88"/>
    <w:rsid w:val="00A868D7"/>
    <w:rsid w:val="00AA1661"/>
    <w:rsid w:val="00AA3454"/>
    <w:rsid w:val="00AA5350"/>
    <w:rsid w:val="00AA61E5"/>
    <w:rsid w:val="00AB1AA2"/>
    <w:rsid w:val="00AB4E08"/>
    <w:rsid w:val="00AC18CB"/>
    <w:rsid w:val="00AD2E5B"/>
    <w:rsid w:val="00AD4624"/>
    <w:rsid w:val="00AD4FE4"/>
    <w:rsid w:val="00AD76D3"/>
    <w:rsid w:val="00AD78D6"/>
    <w:rsid w:val="00AD7EAC"/>
    <w:rsid w:val="00AE124F"/>
    <w:rsid w:val="00AE18AF"/>
    <w:rsid w:val="00AE263C"/>
    <w:rsid w:val="00AE46AF"/>
    <w:rsid w:val="00AF72B7"/>
    <w:rsid w:val="00B023FF"/>
    <w:rsid w:val="00B06231"/>
    <w:rsid w:val="00B072D4"/>
    <w:rsid w:val="00B15E04"/>
    <w:rsid w:val="00B24106"/>
    <w:rsid w:val="00B31814"/>
    <w:rsid w:val="00B32D64"/>
    <w:rsid w:val="00B42C02"/>
    <w:rsid w:val="00B43062"/>
    <w:rsid w:val="00B440E9"/>
    <w:rsid w:val="00B50737"/>
    <w:rsid w:val="00B507B4"/>
    <w:rsid w:val="00B56789"/>
    <w:rsid w:val="00B614A9"/>
    <w:rsid w:val="00B62AAE"/>
    <w:rsid w:val="00B64828"/>
    <w:rsid w:val="00B652E6"/>
    <w:rsid w:val="00B67B9A"/>
    <w:rsid w:val="00B707E3"/>
    <w:rsid w:val="00B76A1E"/>
    <w:rsid w:val="00B815FC"/>
    <w:rsid w:val="00B819FD"/>
    <w:rsid w:val="00B83C4D"/>
    <w:rsid w:val="00B91455"/>
    <w:rsid w:val="00B92804"/>
    <w:rsid w:val="00B964AC"/>
    <w:rsid w:val="00BA46DA"/>
    <w:rsid w:val="00BA7CAD"/>
    <w:rsid w:val="00BB1696"/>
    <w:rsid w:val="00BB3798"/>
    <w:rsid w:val="00BB3FE4"/>
    <w:rsid w:val="00BB474F"/>
    <w:rsid w:val="00BB5435"/>
    <w:rsid w:val="00BB5DA5"/>
    <w:rsid w:val="00BB6DF5"/>
    <w:rsid w:val="00BB720F"/>
    <w:rsid w:val="00BC27EE"/>
    <w:rsid w:val="00BC2E59"/>
    <w:rsid w:val="00BC546A"/>
    <w:rsid w:val="00BD0F17"/>
    <w:rsid w:val="00BD4767"/>
    <w:rsid w:val="00BD4BAE"/>
    <w:rsid w:val="00BD6D98"/>
    <w:rsid w:val="00BE2198"/>
    <w:rsid w:val="00BE6675"/>
    <w:rsid w:val="00BE7B51"/>
    <w:rsid w:val="00BF2B81"/>
    <w:rsid w:val="00BF48BE"/>
    <w:rsid w:val="00C10784"/>
    <w:rsid w:val="00C20ABE"/>
    <w:rsid w:val="00C213EC"/>
    <w:rsid w:val="00C25C23"/>
    <w:rsid w:val="00C30831"/>
    <w:rsid w:val="00C3153F"/>
    <w:rsid w:val="00C32801"/>
    <w:rsid w:val="00C342BA"/>
    <w:rsid w:val="00C44108"/>
    <w:rsid w:val="00C55245"/>
    <w:rsid w:val="00C7014B"/>
    <w:rsid w:val="00C70E02"/>
    <w:rsid w:val="00C72978"/>
    <w:rsid w:val="00C73DDC"/>
    <w:rsid w:val="00C76332"/>
    <w:rsid w:val="00C83C4A"/>
    <w:rsid w:val="00C8421D"/>
    <w:rsid w:val="00C8682A"/>
    <w:rsid w:val="00CA0DD2"/>
    <w:rsid w:val="00CA30CE"/>
    <w:rsid w:val="00CA383A"/>
    <w:rsid w:val="00CA3C28"/>
    <w:rsid w:val="00CA7943"/>
    <w:rsid w:val="00CB439E"/>
    <w:rsid w:val="00CB6609"/>
    <w:rsid w:val="00CC1930"/>
    <w:rsid w:val="00CC36F7"/>
    <w:rsid w:val="00CD2661"/>
    <w:rsid w:val="00CE7383"/>
    <w:rsid w:val="00CF00F8"/>
    <w:rsid w:val="00CF3B46"/>
    <w:rsid w:val="00D0296E"/>
    <w:rsid w:val="00D05A29"/>
    <w:rsid w:val="00D06F48"/>
    <w:rsid w:val="00D117BD"/>
    <w:rsid w:val="00D20CDE"/>
    <w:rsid w:val="00D227FA"/>
    <w:rsid w:val="00D22B1A"/>
    <w:rsid w:val="00D24A12"/>
    <w:rsid w:val="00D265AA"/>
    <w:rsid w:val="00D33167"/>
    <w:rsid w:val="00D429BA"/>
    <w:rsid w:val="00D47258"/>
    <w:rsid w:val="00D51130"/>
    <w:rsid w:val="00D6185D"/>
    <w:rsid w:val="00D70242"/>
    <w:rsid w:val="00D70B54"/>
    <w:rsid w:val="00D736A3"/>
    <w:rsid w:val="00D75A5D"/>
    <w:rsid w:val="00D7788F"/>
    <w:rsid w:val="00DA0CF6"/>
    <w:rsid w:val="00DA4579"/>
    <w:rsid w:val="00DB13B2"/>
    <w:rsid w:val="00DC7D5D"/>
    <w:rsid w:val="00DD59C4"/>
    <w:rsid w:val="00DE1809"/>
    <w:rsid w:val="00DE1A61"/>
    <w:rsid w:val="00DE2281"/>
    <w:rsid w:val="00DE43BE"/>
    <w:rsid w:val="00DE4780"/>
    <w:rsid w:val="00DE7F31"/>
    <w:rsid w:val="00DF2A06"/>
    <w:rsid w:val="00E078E9"/>
    <w:rsid w:val="00E25F35"/>
    <w:rsid w:val="00E27667"/>
    <w:rsid w:val="00E36F00"/>
    <w:rsid w:val="00E4376C"/>
    <w:rsid w:val="00E45C1B"/>
    <w:rsid w:val="00E551B1"/>
    <w:rsid w:val="00E603B4"/>
    <w:rsid w:val="00E62878"/>
    <w:rsid w:val="00E62CC1"/>
    <w:rsid w:val="00E63029"/>
    <w:rsid w:val="00E63CA3"/>
    <w:rsid w:val="00E77E86"/>
    <w:rsid w:val="00E809C9"/>
    <w:rsid w:val="00E8195C"/>
    <w:rsid w:val="00E823E4"/>
    <w:rsid w:val="00E8499C"/>
    <w:rsid w:val="00E96E4F"/>
    <w:rsid w:val="00E9726F"/>
    <w:rsid w:val="00EA5DED"/>
    <w:rsid w:val="00EA7C58"/>
    <w:rsid w:val="00EB031E"/>
    <w:rsid w:val="00EB2805"/>
    <w:rsid w:val="00EC1055"/>
    <w:rsid w:val="00EC221D"/>
    <w:rsid w:val="00EC3CDA"/>
    <w:rsid w:val="00EC4FC6"/>
    <w:rsid w:val="00ED1CB3"/>
    <w:rsid w:val="00EE4062"/>
    <w:rsid w:val="00EE63B2"/>
    <w:rsid w:val="00EE7A12"/>
    <w:rsid w:val="00EF434F"/>
    <w:rsid w:val="00EF5631"/>
    <w:rsid w:val="00F01A82"/>
    <w:rsid w:val="00F0719F"/>
    <w:rsid w:val="00F10CA7"/>
    <w:rsid w:val="00F11E7E"/>
    <w:rsid w:val="00F12D8B"/>
    <w:rsid w:val="00F17667"/>
    <w:rsid w:val="00F209ED"/>
    <w:rsid w:val="00F211DB"/>
    <w:rsid w:val="00F2740C"/>
    <w:rsid w:val="00F27975"/>
    <w:rsid w:val="00F31E10"/>
    <w:rsid w:val="00F37850"/>
    <w:rsid w:val="00F45E1F"/>
    <w:rsid w:val="00F46250"/>
    <w:rsid w:val="00F57EF6"/>
    <w:rsid w:val="00F623C2"/>
    <w:rsid w:val="00F63E17"/>
    <w:rsid w:val="00F66E8E"/>
    <w:rsid w:val="00F7143A"/>
    <w:rsid w:val="00F743CC"/>
    <w:rsid w:val="00F867B8"/>
    <w:rsid w:val="00F87319"/>
    <w:rsid w:val="00F91A31"/>
    <w:rsid w:val="00FA3148"/>
    <w:rsid w:val="00FA78B9"/>
    <w:rsid w:val="00FA7A71"/>
    <w:rsid w:val="00FB0559"/>
    <w:rsid w:val="00FB2920"/>
    <w:rsid w:val="00FB3005"/>
    <w:rsid w:val="00FB679F"/>
    <w:rsid w:val="00FC0AA9"/>
    <w:rsid w:val="00FC159F"/>
    <w:rsid w:val="00FC2CE1"/>
    <w:rsid w:val="00FC3E58"/>
    <w:rsid w:val="00FD2871"/>
    <w:rsid w:val="00FD4525"/>
    <w:rsid w:val="00FD4900"/>
    <w:rsid w:val="00FE275C"/>
    <w:rsid w:val="00FE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34C8B"/>
  <w15:chartTrackingRefBased/>
  <w15:docId w15:val="{ABC33443-7450-41FE-81D8-8E9E291E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6FFE"/>
    <w:pPr>
      <w:widowControl w:val="0"/>
      <w:spacing w:line="400" w:lineRule="exact"/>
      <w:ind w:firstLineChars="200" w:firstLine="200"/>
      <w:jc w:val="both"/>
    </w:pPr>
    <w:rPr>
      <w:rFonts w:ascii="Times New Roman" w:eastAsia="宋体" w:hAnsi="Times New Roman"/>
    </w:rPr>
  </w:style>
  <w:style w:type="paragraph" w:styleId="1">
    <w:name w:val="heading 1"/>
    <w:aliases w:val="1级标题"/>
    <w:basedOn w:val="2"/>
    <w:next w:val="a"/>
    <w:link w:val="10"/>
    <w:autoRedefine/>
    <w:uiPriority w:val="9"/>
    <w:qFormat/>
    <w:rsid w:val="008613B6"/>
    <w:pPr>
      <w:ind w:firstLine="640"/>
      <w:jc w:val="center"/>
      <w:outlineLvl w:val="0"/>
    </w:pPr>
    <w:rPr>
      <w:b w:val="0"/>
      <w:bCs w:val="0"/>
      <w:kern w:val="44"/>
      <w:sz w:val="32"/>
      <w:szCs w:val="44"/>
    </w:rPr>
  </w:style>
  <w:style w:type="paragraph" w:styleId="2">
    <w:name w:val="heading 2"/>
    <w:aliases w:val="2级标题"/>
    <w:basedOn w:val="3"/>
    <w:next w:val="a"/>
    <w:link w:val="20"/>
    <w:autoRedefine/>
    <w:uiPriority w:val="9"/>
    <w:unhideWhenUsed/>
    <w:qFormat/>
    <w:rsid w:val="0015166F"/>
    <w:pPr>
      <w:outlineLvl w:val="1"/>
    </w:pPr>
    <w:rPr>
      <w:b/>
      <w:bCs/>
    </w:rPr>
  </w:style>
  <w:style w:type="paragraph" w:styleId="3">
    <w:name w:val="heading 3"/>
    <w:basedOn w:val="4"/>
    <w:next w:val="a"/>
    <w:link w:val="30"/>
    <w:autoRedefine/>
    <w:uiPriority w:val="9"/>
    <w:unhideWhenUsed/>
    <w:qFormat/>
    <w:rsid w:val="00B15E04"/>
    <w:pPr>
      <w:spacing w:before="120" w:after="120" w:line="360" w:lineRule="auto"/>
      <w:ind w:firstLineChars="0" w:firstLine="0"/>
      <w:outlineLvl w:val="2"/>
    </w:pPr>
    <w:rPr>
      <w:rFonts w:ascii="Times New Roman" w:eastAsia="黑体" w:hAnsi="Times New Roman"/>
      <w:b w:val="0"/>
      <w:bCs w:val="0"/>
      <w:szCs w:val="32"/>
    </w:rPr>
  </w:style>
  <w:style w:type="paragraph" w:styleId="4">
    <w:name w:val="heading 4"/>
    <w:basedOn w:val="a"/>
    <w:next w:val="a"/>
    <w:link w:val="40"/>
    <w:uiPriority w:val="9"/>
    <w:semiHidden/>
    <w:unhideWhenUsed/>
    <w:qFormat/>
    <w:rsid w:val="009B55A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8613B6"/>
    <w:rPr>
      <w:rFonts w:ascii="Times New Roman" w:eastAsia="黑体" w:hAnsi="Times New Roman" w:cstheme="majorBidi"/>
      <w:b/>
      <w:bCs/>
      <w:kern w:val="44"/>
      <w:sz w:val="32"/>
      <w:szCs w:val="44"/>
    </w:rPr>
  </w:style>
  <w:style w:type="paragraph" w:customStyle="1" w:styleId="a3">
    <w:name w:val="重点标题"/>
    <w:basedOn w:val="a"/>
    <w:link w:val="a4"/>
    <w:qFormat/>
    <w:rsid w:val="005243AF"/>
    <w:pPr>
      <w:ind w:firstLineChars="0" w:firstLine="0"/>
    </w:pPr>
    <w:rPr>
      <w:rFonts w:eastAsia="黑体"/>
      <w:sz w:val="28"/>
    </w:rPr>
  </w:style>
  <w:style w:type="character" w:customStyle="1" w:styleId="20">
    <w:name w:val="标题 2 字符"/>
    <w:aliases w:val="2级标题 字符"/>
    <w:basedOn w:val="a0"/>
    <w:link w:val="2"/>
    <w:uiPriority w:val="9"/>
    <w:rsid w:val="0015166F"/>
    <w:rPr>
      <w:rFonts w:ascii="Times New Roman" w:eastAsia="黑体" w:hAnsi="Times New Roman" w:cstheme="majorBidi"/>
      <w:sz w:val="28"/>
      <w:szCs w:val="32"/>
    </w:rPr>
  </w:style>
  <w:style w:type="paragraph" w:styleId="a5">
    <w:name w:val="List Paragraph"/>
    <w:basedOn w:val="a"/>
    <w:uiPriority w:val="34"/>
    <w:qFormat/>
    <w:rsid w:val="00BB474F"/>
    <w:pPr>
      <w:ind w:firstLine="420"/>
    </w:pPr>
  </w:style>
  <w:style w:type="character" w:customStyle="1" w:styleId="a4">
    <w:name w:val="重点标题 字符"/>
    <w:basedOn w:val="a0"/>
    <w:link w:val="a3"/>
    <w:rsid w:val="005243AF"/>
    <w:rPr>
      <w:rFonts w:ascii="Times New Roman" w:eastAsia="黑体" w:hAnsi="Times New Roman"/>
      <w:sz w:val="28"/>
    </w:rPr>
  </w:style>
  <w:style w:type="paragraph" w:styleId="a6">
    <w:name w:val="header"/>
    <w:basedOn w:val="a"/>
    <w:link w:val="a7"/>
    <w:uiPriority w:val="99"/>
    <w:unhideWhenUsed/>
    <w:rsid w:val="003658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3658FD"/>
    <w:rPr>
      <w:rFonts w:ascii="Times New Roman" w:eastAsia="宋体" w:hAnsi="Times New Roman"/>
      <w:sz w:val="18"/>
      <w:szCs w:val="18"/>
    </w:rPr>
  </w:style>
  <w:style w:type="paragraph" w:styleId="a8">
    <w:name w:val="footer"/>
    <w:basedOn w:val="a"/>
    <w:link w:val="a9"/>
    <w:uiPriority w:val="99"/>
    <w:unhideWhenUsed/>
    <w:rsid w:val="003658FD"/>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3658FD"/>
    <w:rPr>
      <w:rFonts w:ascii="Times New Roman" w:eastAsia="宋体" w:hAnsi="Times New Roman"/>
      <w:sz w:val="18"/>
      <w:szCs w:val="18"/>
    </w:rPr>
  </w:style>
  <w:style w:type="paragraph" w:customStyle="1" w:styleId="11">
    <w:name w:val="样式1"/>
    <w:basedOn w:val="a"/>
    <w:next w:val="a"/>
    <w:link w:val="12"/>
    <w:qFormat/>
    <w:rsid w:val="0031005E"/>
    <w:p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firstLine="198"/>
    </w:pPr>
  </w:style>
  <w:style w:type="paragraph" w:customStyle="1" w:styleId="aa">
    <w:name w:val="知识点标题"/>
    <w:basedOn w:val="a"/>
    <w:link w:val="ab"/>
    <w:qFormat/>
    <w:rsid w:val="001905BA"/>
    <w:pPr>
      <w:spacing w:beforeLines="50" w:before="50" w:afterLines="50" w:after="50"/>
      <w:ind w:firstLineChars="0" w:firstLine="0"/>
    </w:pPr>
    <w:rPr>
      <w:rFonts w:eastAsia="黑体"/>
      <w:sz w:val="28"/>
    </w:rPr>
  </w:style>
  <w:style w:type="character" w:customStyle="1" w:styleId="12">
    <w:name w:val="样式1 字符"/>
    <w:basedOn w:val="a0"/>
    <w:link w:val="11"/>
    <w:rsid w:val="0031005E"/>
    <w:rPr>
      <w:rFonts w:ascii="Times New Roman" w:eastAsia="宋体" w:hAnsi="Times New Roman"/>
      <w:shd w:val="clear" w:color="auto" w:fill="EDEDED" w:themeFill="accent3" w:themeFillTint="33"/>
    </w:rPr>
  </w:style>
  <w:style w:type="character" w:customStyle="1" w:styleId="ab">
    <w:name w:val="知识点标题 字符"/>
    <w:basedOn w:val="a0"/>
    <w:link w:val="aa"/>
    <w:rsid w:val="001905BA"/>
    <w:rPr>
      <w:rFonts w:ascii="Times New Roman" w:eastAsia="黑体" w:hAnsi="Times New Roman"/>
      <w:sz w:val="28"/>
    </w:rPr>
  </w:style>
  <w:style w:type="character" w:customStyle="1" w:styleId="30">
    <w:name w:val="标题 3 字符"/>
    <w:basedOn w:val="a0"/>
    <w:link w:val="3"/>
    <w:uiPriority w:val="9"/>
    <w:rsid w:val="00B15E04"/>
    <w:rPr>
      <w:rFonts w:ascii="Times New Roman" w:eastAsia="黑体" w:hAnsi="Times New Roman" w:cstheme="majorBidi"/>
      <w:sz w:val="28"/>
      <w:szCs w:val="32"/>
    </w:rPr>
  </w:style>
  <w:style w:type="paragraph" w:customStyle="1" w:styleId="AMDisplayEquation">
    <w:name w:val="AMDisplayEquation"/>
    <w:basedOn w:val="a"/>
    <w:next w:val="a"/>
    <w:link w:val="AMDisplayEquation0"/>
    <w:rsid w:val="002E31D1"/>
    <w:pPr>
      <w:tabs>
        <w:tab w:val="center" w:pos="4160"/>
        <w:tab w:val="right" w:pos="8300"/>
      </w:tabs>
      <w:ind w:firstLine="420"/>
    </w:pPr>
  </w:style>
  <w:style w:type="character" w:customStyle="1" w:styleId="AMDisplayEquation0">
    <w:name w:val="AMDisplayEquation 字符"/>
    <w:basedOn w:val="a0"/>
    <w:link w:val="AMDisplayEquation"/>
    <w:rsid w:val="002E31D1"/>
    <w:rPr>
      <w:rFonts w:ascii="Times New Roman" w:eastAsia="宋体" w:hAnsi="Times New Roman"/>
    </w:rPr>
  </w:style>
  <w:style w:type="paragraph" w:customStyle="1" w:styleId="ac">
    <w:name w:val="思考题"/>
    <w:basedOn w:val="a"/>
    <w:next w:val="a"/>
    <w:link w:val="ad"/>
    <w:autoRedefine/>
    <w:qFormat/>
    <w:rsid w:val="00A2451E"/>
    <w:pPr>
      <w:pBdr>
        <w:top w:val="single" w:sz="8" w:space="1" w:color="auto"/>
        <w:left w:val="single" w:sz="8" w:space="4" w:color="auto"/>
        <w:bottom w:val="single" w:sz="8" w:space="1" w:color="auto"/>
        <w:right w:val="single" w:sz="8" w:space="4" w:color="auto"/>
      </w:pBdr>
      <w:shd w:val="clear" w:color="auto" w:fill="F2F2F2" w:themeFill="background1" w:themeFillShade="F2"/>
      <w:ind w:firstLineChars="0" w:firstLine="0"/>
    </w:pPr>
    <w:rPr>
      <w:rFonts w:eastAsia="楷体_GB2312"/>
    </w:rPr>
  </w:style>
  <w:style w:type="character" w:customStyle="1" w:styleId="ad">
    <w:name w:val="思考题 字符"/>
    <w:basedOn w:val="a0"/>
    <w:link w:val="ac"/>
    <w:rsid w:val="00A2451E"/>
    <w:rPr>
      <w:rFonts w:ascii="Times New Roman" w:eastAsia="楷体_GB2312" w:hAnsi="Times New Roman"/>
      <w:shd w:val="clear" w:color="auto" w:fill="F2F2F2" w:themeFill="background1" w:themeFillShade="F2"/>
    </w:rPr>
  </w:style>
  <w:style w:type="paragraph" w:styleId="ae">
    <w:name w:val="caption"/>
    <w:basedOn w:val="a"/>
    <w:next w:val="a"/>
    <w:uiPriority w:val="35"/>
    <w:unhideWhenUsed/>
    <w:qFormat/>
    <w:rsid w:val="008B6B59"/>
    <w:rPr>
      <w:rFonts w:asciiTheme="majorHAnsi" w:eastAsia="黑体" w:hAnsiTheme="majorHAnsi" w:cstheme="majorBidi"/>
      <w:sz w:val="20"/>
      <w:szCs w:val="20"/>
    </w:rPr>
  </w:style>
  <w:style w:type="character" w:customStyle="1" w:styleId="40">
    <w:name w:val="标题 4 字符"/>
    <w:basedOn w:val="a0"/>
    <w:link w:val="4"/>
    <w:uiPriority w:val="9"/>
    <w:semiHidden/>
    <w:rsid w:val="009B55AC"/>
    <w:rPr>
      <w:rFonts w:asciiTheme="majorHAnsi" w:eastAsiaTheme="majorEastAsia" w:hAnsiTheme="majorHAnsi" w:cstheme="majorBidi"/>
      <w:b/>
      <w:bCs/>
      <w:sz w:val="28"/>
      <w:szCs w:val="28"/>
    </w:rPr>
  </w:style>
  <w:style w:type="paragraph" w:styleId="af">
    <w:name w:val="Normal (Web)"/>
    <w:basedOn w:val="a"/>
    <w:uiPriority w:val="99"/>
    <w:semiHidden/>
    <w:unhideWhenUsed/>
    <w:rsid w:val="00262D28"/>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8307">
      <w:bodyDiv w:val="1"/>
      <w:marLeft w:val="0"/>
      <w:marRight w:val="0"/>
      <w:marTop w:val="0"/>
      <w:marBottom w:val="0"/>
      <w:divBdr>
        <w:top w:val="none" w:sz="0" w:space="0" w:color="auto"/>
        <w:left w:val="none" w:sz="0" w:space="0" w:color="auto"/>
        <w:bottom w:val="none" w:sz="0" w:space="0" w:color="auto"/>
        <w:right w:val="none" w:sz="0" w:space="0" w:color="auto"/>
      </w:divBdr>
      <w:divsChild>
        <w:div w:id="1305770935">
          <w:marLeft w:val="547"/>
          <w:marRight w:val="0"/>
          <w:marTop w:val="115"/>
          <w:marBottom w:val="0"/>
          <w:divBdr>
            <w:top w:val="none" w:sz="0" w:space="0" w:color="auto"/>
            <w:left w:val="none" w:sz="0" w:space="0" w:color="auto"/>
            <w:bottom w:val="none" w:sz="0" w:space="0" w:color="auto"/>
            <w:right w:val="none" w:sz="0" w:space="0" w:color="auto"/>
          </w:divBdr>
        </w:div>
        <w:div w:id="63375437">
          <w:marLeft w:val="547"/>
          <w:marRight w:val="0"/>
          <w:marTop w:val="115"/>
          <w:marBottom w:val="0"/>
          <w:divBdr>
            <w:top w:val="none" w:sz="0" w:space="0" w:color="auto"/>
            <w:left w:val="none" w:sz="0" w:space="0" w:color="auto"/>
            <w:bottom w:val="none" w:sz="0" w:space="0" w:color="auto"/>
            <w:right w:val="none" w:sz="0" w:space="0" w:color="auto"/>
          </w:divBdr>
        </w:div>
        <w:div w:id="538661196">
          <w:marLeft w:val="547"/>
          <w:marRight w:val="0"/>
          <w:marTop w:val="115"/>
          <w:marBottom w:val="0"/>
          <w:divBdr>
            <w:top w:val="none" w:sz="0" w:space="0" w:color="auto"/>
            <w:left w:val="none" w:sz="0" w:space="0" w:color="auto"/>
            <w:bottom w:val="none" w:sz="0" w:space="0" w:color="auto"/>
            <w:right w:val="none" w:sz="0" w:space="0" w:color="auto"/>
          </w:divBdr>
        </w:div>
        <w:div w:id="2120878084">
          <w:marLeft w:val="547"/>
          <w:marRight w:val="0"/>
          <w:marTop w:val="115"/>
          <w:marBottom w:val="0"/>
          <w:divBdr>
            <w:top w:val="none" w:sz="0" w:space="0" w:color="auto"/>
            <w:left w:val="none" w:sz="0" w:space="0" w:color="auto"/>
            <w:bottom w:val="none" w:sz="0" w:space="0" w:color="auto"/>
            <w:right w:val="none" w:sz="0" w:space="0" w:color="auto"/>
          </w:divBdr>
        </w:div>
      </w:divsChild>
    </w:div>
    <w:div w:id="524485078">
      <w:bodyDiv w:val="1"/>
      <w:marLeft w:val="0"/>
      <w:marRight w:val="0"/>
      <w:marTop w:val="0"/>
      <w:marBottom w:val="0"/>
      <w:divBdr>
        <w:top w:val="none" w:sz="0" w:space="0" w:color="auto"/>
        <w:left w:val="none" w:sz="0" w:space="0" w:color="auto"/>
        <w:bottom w:val="none" w:sz="0" w:space="0" w:color="auto"/>
        <w:right w:val="none" w:sz="0" w:space="0" w:color="auto"/>
      </w:divBdr>
    </w:div>
    <w:div w:id="1059090440">
      <w:bodyDiv w:val="1"/>
      <w:marLeft w:val="0"/>
      <w:marRight w:val="0"/>
      <w:marTop w:val="0"/>
      <w:marBottom w:val="0"/>
      <w:divBdr>
        <w:top w:val="none" w:sz="0" w:space="0" w:color="auto"/>
        <w:left w:val="none" w:sz="0" w:space="0" w:color="auto"/>
        <w:bottom w:val="none" w:sz="0" w:space="0" w:color="auto"/>
        <w:right w:val="none" w:sz="0" w:space="0" w:color="auto"/>
      </w:divBdr>
    </w:div>
    <w:div w:id="1123157467">
      <w:bodyDiv w:val="1"/>
      <w:marLeft w:val="0"/>
      <w:marRight w:val="0"/>
      <w:marTop w:val="0"/>
      <w:marBottom w:val="0"/>
      <w:divBdr>
        <w:top w:val="none" w:sz="0" w:space="0" w:color="auto"/>
        <w:left w:val="none" w:sz="0" w:space="0" w:color="auto"/>
        <w:bottom w:val="none" w:sz="0" w:space="0" w:color="auto"/>
        <w:right w:val="none" w:sz="0" w:space="0" w:color="auto"/>
      </w:divBdr>
    </w:div>
    <w:div w:id="1142500249">
      <w:bodyDiv w:val="1"/>
      <w:marLeft w:val="0"/>
      <w:marRight w:val="0"/>
      <w:marTop w:val="0"/>
      <w:marBottom w:val="0"/>
      <w:divBdr>
        <w:top w:val="none" w:sz="0" w:space="0" w:color="auto"/>
        <w:left w:val="none" w:sz="0" w:space="0" w:color="auto"/>
        <w:bottom w:val="none" w:sz="0" w:space="0" w:color="auto"/>
        <w:right w:val="none" w:sz="0" w:space="0" w:color="auto"/>
      </w:divBdr>
    </w:div>
    <w:div w:id="1210728848">
      <w:bodyDiv w:val="1"/>
      <w:marLeft w:val="0"/>
      <w:marRight w:val="0"/>
      <w:marTop w:val="0"/>
      <w:marBottom w:val="0"/>
      <w:divBdr>
        <w:top w:val="none" w:sz="0" w:space="0" w:color="auto"/>
        <w:left w:val="none" w:sz="0" w:space="0" w:color="auto"/>
        <w:bottom w:val="none" w:sz="0" w:space="0" w:color="auto"/>
        <w:right w:val="none" w:sz="0" w:space="0" w:color="auto"/>
      </w:divBdr>
    </w:div>
    <w:div w:id="1214655927">
      <w:bodyDiv w:val="1"/>
      <w:marLeft w:val="0"/>
      <w:marRight w:val="0"/>
      <w:marTop w:val="0"/>
      <w:marBottom w:val="0"/>
      <w:divBdr>
        <w:top w:val="none" w:sz="0" w:space="0" w:color="auto"/>
        <w:left w:val="none" w:sz="0" w:space="0" w:color="auto"/>
        <w:bottom w:val="none" w:sz="0" w:space="0" w:color="auto"/>
        <w:right w:val="none" w:sz="0" w:space="0" w:color="auto"/>
      </w:divBdr>
    </w:div>
    <w:div w:id="1343243964">
      <w:bodyDiv w:val="1"/>
      <w:marLeft w:val="0"/>
      <w:marRight w:val="0"/>
      <w:marTop w:val="0"/>
      <w:marBottom w:val="0"/>
      <w:divBdr>
        <w:top w:val="none" w:sz="0" w:space="0" w:color="auto"/>
        <w:left w:val="none" w:sz="0" w:space="0" w:color="auto"/>
        <w:bottom w:val="none" w:sz="0" w:space="0" w:color="auto"/>
        <w:right w:val="none" w:sz="0" w:space="0" w:color="auto"/>
      </w:divBdr>
    </w:div>
    <w:div w:id="1346440079">
      <w:bodyDiv w:val="1"/>
      <w:marLeft w:val="0"/>
      <w:marRight w:val="0"/>
      <w:marTop w:val="0"/>
      <w:marBottom w:val="0"/>
      <w:divBdr>
        <w:top w:val="none" w:sz="0" w:space="0" w:color="auto"/>
        <w:left w:val="none" w:sz="0" w:space="0" w:color="auto"/>
        <w:bottom w:val="none" w:sz="0" w:space="0" w:color="auto"/>
        <w:right w:val="none" w:sz="0" w:space="0" w:color="auto"/>
      </w:divBdr>
    </w:div>
    <w:div w:id="1422525043">
      <w:bodyDiv w:val="1"/>
      <w:marLeft w:val="0"/>
      <w:marRight w:val="0"/>
      <w:marTop w:val="0"/>
      <w:marBottom w:val="0"/>
      <w:divBdr>
        <w:top w:val="none" w:sz="0" w:space="0" w:color="auto"/>
        <w:left w:val="none" w:sz="0" w:space="0" w:color="auto"/>
        <w:bottom w:val="none" w:sz="0" w:space="0" w:color="auto"/>
        <w:right w:val="none" w:sz="0" w:space="0" w:color="auto"/>
      </w:divBdr>
    </w:div>
    <w:div w:id="1495024679">
      <w:bodyDiv w:val="1"/>
      <w:marLeft w:val="0"/>
      <w:marRight w:val="0"/>
      <w:marTop w:val="0"/>
      <w:marBottom w:val="0"/>
      <w:divBdr>
        <w:top w:val="none" w:sz="0" w:space="0" w:color="auto"/>
        <w:left w:val="none" w:sz="0" w:space="0" w:color="auto"/>
        <w:bottom w:val="none" w:sz="0" w:space="0" w:color="auto"/>
        <w:right w:val="none" w:sz="0" w:space="0" w:color="auto"/>
      </w:divBdr>
    </w:div>
    <w:div w:id="15891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C716-DB2B-493E-9199-DC89B5CB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4708</TotalTime>
  <Pages>4</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39</cp:revision>
  <cp:lastPrinted>2022-09-16T15:30:00Z</cp:lastPrinted>
  <dcterms:created xsi:type="dcterms:W3CDTF">2022-08-07T11:40:00Z</dcterms:created>
  <dcterms:modified xsi:type="dcterms:W3CDTF">2022-11-21T03:09:00Z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