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b/>
          <w:bCs/>
          <w:sz w:val="32"/>
          <w:szCs w:val="32"/>
        </w:rPr>
        <w:t xml:space="preserve">Structure Before Style: Choosing a Science-Fiction Frame That Matches the Data</w:t>
      </w:r>
    </w:p>
    <w:p>
      <w:pPr>
        <w:spacing w:after="40"/>
        <w:jc w:val="center"/>
      </w:pPr>
      <w:r>
        <w:rPr>
          <w:sz w:val="23"/>
          <w:szCs w:val="23"/>
        </w:rPr>
        <w:t xml:space="preserve">Jacie Jermier</w:t>
      </w:r>
    </w:p>
    <w:p>
      <w:pPr>
        <w:spacing w:after="40"/>
        <w:jc w:val="center"/>
      </w:pPr>
      <w:r>
        <w:rPr>
          <w:color w:val="444444"/>
          <w:sz w:val="20"/>
          <w:szCs w:val="20"/>
        </w:rPr>
        <w:t xml:space="preserve">University of Waterloo  |  jjermier@uwaterloo.ca</w:t>
      </w:r>
    </w:p>
    <w:p>
      <w:pPr>
        <w:pBdr>
          <w:bottom w:val="single" w:color="CCCCCC" w:sz="6" w:space="10"/>
        </w:pBdr>
        <w:spacing w:after="320"/>
        <w:jc w:val="center"/>
      </w:pPr>
      <w:r>
        <w:rPr>
          <w:i/>
          <w:iCs/>
          <w:color w:val="666666"/>
          <w:sz w:val="18"/>
          <w:szCs w:val="18"/>
        </w:rPr>
        <w:t xml:space="preserve">Submission to SciFi-VIS 2026 (position paper). Body text ~980 words.</w:t>
      </w:r>
    </w:p>
    <w:p>
      <w:pPr>
        <w:pStyle w:val="Heading1"/>
        <w:spacing w:after="140" w:before="300"/>
      </w:pPr>
      <w:r>
        <w:t xml:space="preserve">Abstract</w:t>
      </w:r>
    </w:p>
    <w:p>
      <w:pPr>
        <w:spacing w:after="160" w:line="276"/>
        <w:jc w:val="left"/>
      </w:pPr>
      <w:r>
        <w:t xml:space="preserve">Science-fiction framing in visualization is usually judged on whether the theme feels relevant. We argue it should be judged on whether the fiction's </w:t>
      </w:r>
      <w:r>
        <w:rPr>
          <w:i/>
          <w:iCs/>
        </w:rPr>
        <w:t xml:space="preserve">structure</w:t>
      </w:r>
      <w:r>
        <w:t xml:space="preserve"> matches the data's structure. We present </w:t>
      </w:r>
      <w:r>
        <w:rPr>
          <w:i/>
          <w:iCs/>
        </w:rPr>
        <w:t xml:space="preserve">The Upside Down</w:t>
      </w:r>
      <w:r>
        <w:t xml:space="preserve">, a web-based narrative visualization of COVID-19 wastewater surveillance built on a </w:t>
      </w:r>
      <w:r>
        <w:rPr>
          <w:i/>
          <w:iCs/>
        </w:rPr>
        <w:t xml:space="preserve">Stranger Things</w:t>
      </w:r>
      <w:r>
        <w:t xml:space="preserve"> frame, and we report what happened when we tested the metaphor against measured lead times. The frame survived, but only after it forced us to delete our most dramatic wave and to display a region where the early-warning story is simply false.</w:t>
      </w:r>
    </w:p>
    <w:p>
      <w:pPr>
        <w:pStyle w:val="Heading1"/>
        <w:spacing w:after="140" w:before="300"/>
      </w:pPr>
      <w:r>
        <w:t xml:space="preserve">1. Position</w:t>
      </w:r>
    </w:p>
    <w:p>
      <w:pPr>
        <w:spacing w:after="160" w:line="276"/>
        <w:jc w:val="left"/>
      </w:pPr>
      <w:r>
        <w:t xml:space="preserve">Wastewater carries SARS-CoV-2 RNA days to weeks before infected people seek testing, so sewage can warn of an outbreak before hospitals register it [3, 5, 6]. Public dashboards communicate this through line charts and choropleths — analytically precise, and almost impossible for a non-expert to feel.</w:t>
      </w:r>
    </w:p>
    <w:p>
      <w:pPr>
        <w:spacing w:after="160" w:line="276"/>
        <w:jc w:val="left"/>
      </w:pPr>
      <w:r>
        <w:rPr>
          <w:i/>
          <w:iCs/>
        </w:rPr>
        <w:t xml:space="preserve">Stranger Things</w:t>
      </w:r>
      <w:r>
        <w:t xml:space="preserve"> offers a hidden dimension that occupies the same physical space as the visible world, where threats become detectable before they surface. This is not a mood that happens to suit an epidemic. It is an isomorphism. The relationship we needed to show — a signal existing underground before it appears above — is the relationship the fiction already encodes spatially. Byrne et al. [1] argue figurative frames extend expressiveness beyond decoration; we push further and claim the frame is only load-bearing when its structure and the data's structure are the same shape.</w:t>
      </w:r>
    </w:p>
    <w:p>
      <w:pPr>
        <w:spacing w:after="160" w:line="276"/>
        <w:jc w:val="left"/>
      </w:pPr>
      <w:r>
        <w:t xml:space="preserve">The practical consequence is a testable criterion. If the metaphor genuinely encodes the relationship, then wherever the data violates the relationship, the metaphor must visibly break. A frame that looks equally convincing whether or not the underlying pattern holds is decoration wearing an argument's clothes.</w:t>
      </w:r>
    </w:p>
    <w:p>
      <w:pPr>
        <w:pStyle w:val="Heading1"/>
        <w:spacing w:after="140" w:before="300"/>
      </w:pPr>
      <w:r>
        <w:t xml:space="preserve">2. System</w:t>
      </w:r>
    </w:p>
    <w:p>
      <w:pPr>
        <w:spacing w:after="160" w:line="276"/>
        <w:jc w:val="left"/>
      </w:pPr>
      <w:r>
        <w:t xml:space="preserve">Two transparent deck.gl map layers share a 3D scene composed with CSS preserve-3d. The lower layer (the Upside Down) draws wastewater sampling sites as dots whose radius and brightness encode viral RNA percentile and population served. The upper layer (the surface) draws procedurally generated cracks whose severity combines state case intensity with local wastewater signal strength, so the places that detected most are the places that crack hardest. Flat, the layers coincide; tilted to 65°, they separate in Z, exposing the void between worlds (Fig. 1).</w:t>
      </w:r>
    </w:p>
    <w:p>
      <w:pPr>
        <w:spacing w:after="160" w:line="276"/>
        <w:jc w:val="left"/>
      </w:pPr>
      <w:r>
        <w:t xml:space="preserve">A synchronized D3 ridgeline stacks regional rows, each pairing a filled wastewater curve with a dashed clinical curve; horizontal displacement between peaks is the lead time (Fig. 3). Playback follows a five-act structure — entry, detection, breach, zoom, exploration — following Segel and Heer's martini-glass model [7], because the lead-lag relationship is unreadable if a first-time viewer scrubs past the detection phase.</w:t>
      </w:r>
    </w:p>
    <w:p>
      <w:pPr>
        <w:pStyle w:val="Heading1"/>
        <w:spacing w:after="140" w:before="300"/>
      </w:pPr>
      <w:r>
        <w:t xml:space="preserve">3. Testing the Frame</w:t>
      </w:r>
    </w:p>
    <w:p>
      <w:pPr>
        <w:spacing w:after="160" w:line="276"/>
        <w:jc w:val="left"/>
      </w:pPr>
      <w:r>
        <w:t xml:space="preserve">Our original submission annotated lead times as manual estimates. Replacing them with cross-correlation of weekly wastewater percentile against weekly cases changed the paper.</w:t>
      </w:r>
    </w:p>
    <w:p>
      <w:pPr>
        <w:spacing w:after="160" w:line="276"/>
        <w:jc w:val="left"/>
      </w:pPr>
      <w:r>
        <w:t xml:space="preserve">Two findings mattered. First, </w:t>
      </w:r>
      <w:r>
        <w:rPr>
          <w:b/>
          <w:bCs/>
        </w:rPr>
        <w:t xml:space="preserve">the Delta wave had to be deleted.</w:t>
      </w:r>
      <w:r>
        <w:t xml:space="preserve"> CDC NWSS percentile reporting does not begin until 15 November 2021, so the entire Delta window contains no viral intensity data; only a near-constant detection flag, and only in six states. Delta had been our flagship, carrying most of our figures. The visualization had been rendering it confidently the whole time. The metaphor did not break, because nothing forced it to — which is exactly the failure mode we are warning about.</w:t>
      </w:r>
    </w:p>
    <w:p>
      <w:pPr>
        <w:spacing w:after="160" w:line="276"/>
        <w:jc w:val="left"/>
      </w:pPr>
      <w:r>
        <w:t xml:space="preserve">Second, </w:t>
      </w:r>
      <w:r>
        <w:rPr>
          <w:b/>
          <w:bCs/>
        </w:rPr>
        <w:t xml:space="preserve">the lead time is real but uneven</w:t>
      </w:r>
      <w:r>
        <w:t xml:space="preserve"> (Table 1). Idaho led Omicron by three weeks (r = 0.99) and Arizona led BA.5 by two (r = 0.85). West Virginia led neither: its correlation peaks at lag 0 in both waves (r = 0.94, r = 0.92). The signals move together. There is no underground.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shd w:fill="E8E8E8" w:color="auto" w:val="clear"/>
            <w:tcMar>
              <w:top w:type="dxa" w:w="60"/>
              <w:left w:type="dxa" w:w="110"/>
              <w:bottom w:type="dxa" w:w="60"/>
              <w:right w:type="dxa" w:w="110"/>
            </w:tcMar>
          </w:tcPr>
          <w:p>
            <w:pPr>
              <w:spacing w:after="0"/>
            </w:pPr>
            <w:r>
              <w:rPr>
                <w:b/>
                <w:bCs/>
              </w:rPr>
              <w:t xml:space="preserve">Region / State</w:t>
            </w:r>
          </w:p>
        </w:tc>
        <w:tc>
          <w:tcPr>
            <w:tcW w:type="dxa" w:w="2000"/>
            <w:shd w:fill="E8E8E8" w:color="auto" w:val="clear"/>
            <w:tcMar>
              <w:top w:type="dxa" w:w="60"/>
              <w:left w:type="dxa" w:w="110"/>
              <w:bottom w:type="dxa" w:w="60"/>
              <w:right w:type="dxa" w:w="110"/>
            </w:tcMar>
          </w:tcPr>
          <w:p>
            <w:pPr>
              <w:spacing w:after="0"/>
            </w:pPr>
            <w:r>
              <w:rPr>
                <w:b/>
                <w:bCs/>
              </w:rPr>
              <w:t xml:space="preserve">Wave</w:t>
            </w:r>
          </w:p>
        </w:tc>
        <w:tc>
          <w:tcPr>
            <w:tcW w:type="dxa" w:w="2000"/>
            <w:shd w:fill="E8E8E8" w:color="auto" w:val="clear"/>
            <w:tcMar>
              <w:top w:type="dxa" w:w="60"/>
              <w:left w:type="dxa" w:w="110"/>
              <w:bottom w:type="dxa" w:w="60"/>
              <w:right w:type="dxa" w:w="110"/>
            </w:tcMar>
          </w:tcPr>
          <w:p>
            <w:pPr>
              <w:spacing w:after="0"/>
            </w:pPr>
            <w:r>
              <w:rPr>
                <w:b/>
                <w:bCs/>
              </w:rPr>
              <w:t xml:space="preserve">Lead</w:t>
            </w:r>
          </w:p>
        </w:tc>
        <w:tc>
          <w:tcPr>
            <w:tcW w:type="dxa" w:w="2000"/>
            <w:shd w:fill="E8E8E8" w:color="auto" w:val="clear"/>
            <w:tcMar>
              <w:top w:type="dxa" w:w="60"/>
              <w:left w:type="dxa" w:w="110"/>
              <w:bottom w:type="dxa" w:w="60"/>
              <w:right w:type="dxa" w:w="110"/>
            </w:tcMar>
          </w:tcPr>
          <w:p>
            <w:pPr>
              <w:spacing w:after="0"/>
            </w:pPr>
            <w:r>
              <w:rPr>
                <w:b/>
                <w:bCs/>
              </w:rPr>
              <w:t xml:space="preserve">r</w:t>
            </w:r>
          </w:p>
        </w:tc>
      </w:tr>
      <w:tr>
        <w:tc>
          <w:tcPr>
            <w:tcW w:type="dxa" w:w="3360"/>
            <w:tcMar>
              <w:top w:type="dxa" w:w="60"/>
              <w:left w:type="dxa" w:w="110"/>
              <w:bottom w:type="dxa" w:w="60"/>
              <w:right w:type="dxa" w:w="110"/>
            </w:tcMar>
          </w:tcPr>
          <w:p>
            <w:pPr>
              <w:spacing w:after="0"/>
            </w:pPr>
            <w:r>
              <w:rPr>
                <w:b w:val="false"/>
                <w:bCs w:val="false"/>
              </w:rPr>
              <w:t xml:space="preserve">Southwest</w:t>
            </w:r>
          </w:p>
        </w:tc>
        <w:tc>
          <w:tcPr>
            <w:tcW w:type="dxa" w:w="2000"/>
            <w:tcMar>
              <w:top w:type="dxa" w:w="60"/>
              <w:left w:type="dxa" w:w="110"/>
              <w:bottom w:type="dxa" w:w="60"/>
              <w:right w:type="dxa" w:w="110"/>
            </w:tcMar>
          </w:tcPr>
          <w:p>
            <w:pPr>
              <w:spacing w:after="0"/>
            </w:pPr>
            <w:r>
              <w:rPr>
                <w:b w:val="false"/>
                <w:bCs w:val="false"/>
              </w:rPr>
              <w:t xml:space="preserve">BA.5</w:t>
            </w:r>
          </w:p>
        </w:tc>
        <w:tc>
          <w:tcPr>
            <w:tcW w:type="dxa" w:w="2000"/>
            <w:tcMar>
              <w:top w:type="dxa" w:w="60"/>
              <w:left w:type="dxa" w:w="110"/>
              <w:bottom w:type="dxa" w:w="60"/>
              <w:right w:type="dxa" w:w="110"/>
            </w:tcMar>
          </w:tcPr>
          <w:p>
            <w:pPr>
              <w:spacing w:after="0"/>
            </w:pPr>
            <w:r>
              <w:rPr>
                <w:b w:val="false"/>
                <w:bCs w:val="false"/>
              </w:rPr>
              <w:t xml:space="preserve">2 weeks</w:t>
            </w:r>
          </w:p>
        </w:tc>
        <w:tc>
          <w:tcPr>
            <w:tcW w:type="dxa" w:w="2000"/>
            <w:tcMar>
              <w:top w:type="dxa" w:w="60"/>
              <w:left w:type="dxa" w:w="110"/>
              <w:bottom w:type="dxa" w:w="60"/>
              <w:right w:type="dxa" w:w="110"/>
            </w:tcMar>
          </w:tcPr>
          <w:p>
            <w:pPr>
              <w:spacing w:after="0"/>
            </w:pPr>
            <w:r>
              <w:rPr>
                <w:b w:val="false"/>
                <w:bCs w:val="false"/>
              </w:rPr>
              <w:t xml:space="preserve">0.97</w:t>
            </w:r>
          </w:p>
        </w:tc>
      </w:tr>
      <w:tr>
        <w:tc>
          <w:tcPr>
            <w:tcW w:type="dxa" w:w="3360"/>
            <w:tcMar>
              <w:top w:type="dxa" w:w="60"/>
              <w:left w:type="dxa" w:w="110"/>
              <w:bottom w:type="dxa" w:w="60"/>
              <w:right w:type="dxa" w:w="110"/>
            </w:tcMar>
          </w:tcPr>
          <w:p>
            <w:pPr>
              <w:spacing w:after="0"/>
            </w:pPr>
            <w:r>
              <w:rPr>
                <w:b w:val="false"/>
                <w:bCs w:val="false"/>
              </w:rPr>
              <w:t xml:space="preserve">Upper Midwest</w:t>
            </w:r>
          </w:p>
        </w:tc>
        <w:tc>
          <w:tcPr>
            <w:tcW w:type="dxa" w:w="2000"/>
            <w:tcMar>
              <w:top w:type="dxa" w:w="60"/>
              <w:left w:type="dxa" w:w="110"/>
              <w:bottom w:type="dxa" w:w="60"/>
              <w:right w:type="dxa" w:w="110"/>
            </w:tcMar>
          </w:tcPr>
          <w:p>
            <w:pPr>
              <w:spacing w:after="0"/>
            </w:pPr>
            <w:r>
              <w:rPr>
                <w:b w:val="false"/>
                <w:bCs w:val="false"/>
              </w:rPr>
              <w:t xml:space="preserve">Omicron</w:t>
            </w:r>
          </w:p>
        </w:tc>
        <w:tc>
          <w:tcPr>
            <w:tcW w:type="dxa" w:w="2000"/>
            <w:tcMar>
              <w:top w:type="dxa" w:w="60"/>
              <w:left w:type="dxa" w:w="110"/>
              <w:bottom w:type="dxa" w:w="60"/>
              <w:right w:type="dxa" w:w="110"/>
            </w:tcMar>
          </w:tcPr>
          <w:p>
            <w:pPr>
              <w:spacing w:after="0"/>
            </w:pPr>
            <w:r>
              <w:rPr>
                <w:b w:val="false"/>
                <w:bCs w:val="false"/>
              </w:rPr>
              <w:t xml:space="preserve">2 weeks</w:t>
            </w:r>
          </w:p>
        </w:tc>
        <w:tc>
          <w:tcPr>
            <w:tcW w:type="dxa" w:w="2000"/>
            <w:tcMar>
              <w:top w:type="dxa" w:w="60"/>
              <w:left w:type="dxa" w:w="110"/>
              <w:bottom w:type="dxa" w:w="60"/>
              <w:right w:type="dxa" w:w="110"/>
            </w:tcMar>
          </w:tcPr>
          <w:p>
            <w:pPr>
              <w:spacing w:after="0"/>
            </w:pPr>
            <w:r>
              <w:rPr>
                <w:b w:val="false"/>
                <w:bCs w:val="false"/>
              </w:rPr>
              <w:t xml:space="preserve">0.82</w:t>
            </w:r>
          </w:p>
        </w:tc>
      </w:tr>
      <w:tr>
        <w:tc>
          <w:tcPr>
            <w:tcW w:type="dxa" w:w="3360"/>
            <w:tcMar>
              <w:top w:type="dxa" w:w="60"/>
              <w:left w:type="dxa" w:w="110"/>
              <w:bottom w:type="dxa" w:w="60"/>
              <w:right w:type="dxa" w:w="110"/>
            </w:tcMar>
          </w:tcPr>
          <w:p>
            <w:pPr>
              <w:spacing w:after="0"/>
            </w:pPr>
            <w:r>
              <w:rPr>
                <w:b w:val="false"/>
                <w:bCs w:val="false"/>
              </w:rPr>
              <w:t xml:space="preserve">Upper Midwest</w:t>
            </w:r>
          </w:p>
        </w:tc>
        <w:tc>
          <w:tcPr>
            <w:tcW w:type="dxa" w:w="2000"/>
            <w:tcMar>
              <w:top w:type="dxa" w:w="60"/>
              <w:left w:type="dxa" w:w="110"/>
              <w:bottom w:type="dxa" w:w="60"/>
              <w:right w:type="dxa" w:w="110"/>
            </w:tcMar>
          </w:tcPr>
          <w:p>
            <w:pPr>
              <w:spacing w:after="0"/>
            </w:pPr>
            <w:r>
              <w:rPr>
                <w:b w:val="false"/>
                <w:bCs w:val="false"/>
              </w:rPr>
              <w:t xml:space="preserve">BA.5</w:t>
            </w:r>
          </w:p>
        </w:tc>
        <w:tc>
          <w:tcPr>
            <w:tcW w:type="dxa" w:w="2000"/>
            <w:tcMar>
              <w:top w:type="dxa" w:w="60"/>
              <w:left w:type="dxa" w:w="110"/>
              <w:bottom w:type="dxa" w:w="60"/>
              <w:right w:type="dxa" w:w="110"/>
            </w:tcMar>
          </w:tcPr>
          <w:p>
            <w:pPr>
              <w:spacing w:after="0"/>
            </w:pPr>
            <w:r>
              <w:rPr>
                <w:b w:val="false"/>
                <w:bCs w:val="false"/>
              </w:rPr>
              <w:t xml:space="preserve">2 weeks</w:t>
            </w:r>
          </w:p>
        </w:tc>
        <w:tc>
          <w:tcPr>
            <w:tcW w:type="dxa" w:w="2000"/>
            <w:tcMar>
              <w:top w:type="dxa" w:w="60"/>
              <w:left w:type="dxa" w:w="110"/>
              <w:bottom w:type="dxa" w:w="60"/>
              <w:right w:type="dxa" w:w="110"/>
            </w:tcMar>
          </w:tcPr>
          <w:p>
            <w:pPr>
              <w:spacing w:after="0"/>
            </w:pPr>
            <w:r>
              <w:rPr>
                <w:b w:val="false"/>
                <w:bCs w:val="false"/>
              </w:rPr>
              <w:t xml:space="preserve">0.81</w:t>
            </w:r>
          </w:p>
        </w:tc>
      </w:tr>
      <w:tr>
        <w:tc>
          <w:tcPr>
            <w:tcW w:type="dxa" w:w="3360"/>
            <w:tcMar>
              <w:top w:type="dxa" w:w="60"/>
              <w:left w:type="dxa" w:w="110"/>
              <w:bottom w:type="dxa" w:w="60"/>
              <w:right w:type="dxa" w:w="110"/>
            </w:tcMar>
          </w:tcPr>
          <w:p>
            <w:pPr>
              <w:spacing w:after="0"/>
            </w:pPr>
            <w:r>
              <w:rPr>
                <w:b w:val="false"/>
                <w:bCs w:val="false"/>
              </w:rPr>
              <w:t xml:space="preserve">Idaho</w:t>
            </w:r>
          </w:p>
        </w:tc>
        <w:tc>
          <w:tcPr>
            <w:tcW w:type="dxa" w:w="2000"/>
            <w:tcMar>
              <w:top w:type="dxa" w:w="60"/>
              <w:left w:type="dxa" w:w="110"/>
              <w:bottom w:type="dxa" w:w="60"/>
              <w:right w:type="dxa" w:w="110"/>
            </w:tcMar>
          </w:tcPr>
          <w:p>
            <w:pPr>
              <w:spacing w:after="0"/>
            </w:pPr>
            <w:r>
              <w:rPr>
                <w:b w:val="false"/>
                <w:bCs w:val="false"/>
              </w:rPr>
              <w:t xml:space="preserve">Omicron</w:t>
            </w:r>
          </w:p>
        </w:tc>
        <w:tc>
          <w:tcPr>
            <w:tcW w:type="dxa" w:w="2000"/>
            <w:tcMar>
              <w:top w:type="dxa" w:w="60"/>
              <w:left w:type="dxa" w:w="110"/>
              <w:bottom w:type="dxa" w:w="60"/>
              <w:right w:type="dxa" w:w="110"/>
            </w:tcMar>
          </w:tcPr>
          <w:p>
            <w:pPr>
              <w:spacing w:after="0"/>
            </w:pPr>
            <w:r>
              <w:rPr>
                <w:b w:val="false"/>
                <w:bCs w:val="false"/>
              </w:rPr>
              <w:t xml:space="preserve">3 weeks</w:t>
            </w:r>
          </w:p>
        </w:tc>
        <w:tc>
          <w:tcPr>
            <w:tcW w:type="dxa" w:w="2000"/>
            <w:tcMar>
              <w:top w:type="dxa" w:w="60"/>
              <w:left w:type="dxa" w:w="110"/>
              <w:bottom w:type="dxa" w:w="60"/>
              <w:right w:type="dxa" w:w="110"/>
            </w:tcMar>
          </w:tcPr>
          <w:p>
            <w:pPr>
              <w:spacing w:after="0"/>
            </w:pPr>
            <w:r>
              <w:rPr>
                <w:b w:val="false"/>
                <w:bCs w:val="false"/>
              </w:rPr>
              <w:t xml:space="preserve">0.99</w:t>
            </w:r>
          </w:p>
        </w:tc>
      </w:tr>
      <w:tr>
        <w:tc>
          <w:tcPr>
            <w:tcW w:type="dxa" w:w="3360"/>
            <w:tcMar>
              <w:top w:type="dxa" w:w="60"/>
              <w:left w:type="dxa" w:w="110"/>
              <w:bottom w:type="dxa" w:w="60"/>
              <w:right w:type="dxa" w:w="110"/>
            </w:tcMar>
          </w:tcPr>
          <w:p>
            <w:pPr>
              <w:spacing w:after="0"/>
            </w:pPr>
            <w:r>
              <w:rPr>
                <w:b w:val="false"/>
                <w:bCs w:val="false"/>
              </w:rPr>
              <w:t xml:space="preserve">Appalachian</w:t>
            </w:r>
          </w:p>
        </w:tc>
        <w:tc>
          <w:tcPr>
            <w:tcW w:type="dxa" w:w="2000"/>
            <w:tcMar>
              <w:top w:type="dxa" w:w="60"/>
              <w:left w:type="dxa" w:w="110"/>
              <w:bottom w:type="dxa" w:w="60"/>
              <w:right w:type="dxa" w:w="110"/>
            </w:tcMar>
          </w:tcPr>
          <w:p>
            <w:pPr>
              <w:spacing w:after="0"/>
            </w:pPr>
            <w:r>
              <w:rPr>
                <w:b w:val="false"/>
                <w:bCs w:val="false"/>
              </w:rPr>
              <w:t xml:space="preserve">Omicron</w:t>
            </w:r>
          </w:p>
        </w:tc>
        <w:tc>
          <w:tcPr>
            <w:tcW w:type="dxa" w:w="2000"/>
            <w:tcMar>
              <w:top w:type="dxa" w:w="60"/>
              <w:left w:type="dxa" w:w="110"/>
              <w:bottom w:type="dxa" w:w="60"/>
              <w:right w:type="dxa" w:w="110"/>
            </w:tcMar>
          </w:tcPr>
          <w:p>
            <w:pPr>
              <w:spacing w:after="0"/>
            </w:pPr>
            <w:r>
              <w:rPr>
                <w:b/>
                <w:bCs/>
              </w:rPr>
              <w:t xml:space="preserve">none</w:t>
            </w:r>
          </w:p>
        </w:tc>
        <w:tc>
          <w:tcPr>
            <w:tcW w:type="dxa" w:w="2000"/>
            <w:tcMar>
              <w:top w:type="dxa" w:w="60"/>
              <w:left w:type="dxa" w:w="110"/>
              <w:bottom w:type="dxa" w:w="60"/>
              <w:right w:type="dxa" w:w="110"/>
            </w:tcMar>
          </w:tcPr>
          <w:p>
            <w:pPr>
              <w:spacing w:after="0"/>
            </w:pPr>
            <w:r>
              <w:rPr>
                <w:b w:val="false"/>
                <w:bCs w:val="false"/>
              </w:rPr>
              <w:t xml:space="preserve">0.95</w:t>
            </w:r>
          </w:p>
        </w:tc>
      </w:tr>
      <w:tr>
        <w:tc>
          <w:tcPr>
            <w:tcW w:type="dxa" w:w="3360"/>
            <w:tcMar>
              <w:top w:type="dxa" w:w="60"/>
              <w:left w:type="dxa" w:w="110"/>
              <w:bottom w:type="dxa" w:w="60"/>
              <w:right w:type="dxa" w:w="110"/>
            </w:tcMar>
          </w:tcPr>
          <w:p>
            <w:pPr>
              <w:spacing w:after="0"/>
            </w:pPr>
            <w:r>
              <w:rPr>
                <w:b w:val="false"/>
                <w:bCs w:val="false"/>
              </w:rPr>
              <w:t xml:space="preserve">West Virginia</w:t>
            </w:r>
          </w:p>
        </w:tc>
        <w:tc>
          <w:tcPr>
            <w:tcW w:type="dxa" w:w="2000"/>
            <w:tcMar>
              <w:top w:type="dxa" w:w="60"/>
              <w:left w:type="dxa" w:w="110"/>
              <w:bottom w:type="dxa" w:w="60"/>
              <w:right w:type="dxa" w:w="110"/>
            </w:tcMar>
          </w:tcPr>
          <w:p>
            <w:pPr>
              <w:spacing w:after="0"/>
            </w:pPr>
            <w:r>
              <w:rPr>
                <w:b w:val="false"/>
                <w:bCs w:val="false"/>
              </w:rPr>
              <w:t xml:space="preserve">BA.5</w:t>
            </w:r>
          </w:p>
        </w:tc>
        <w:tc>
          <w:tcPr>
            <w:tcW w:type="dxa" w:w="2000"/>
            <w:tcMar>
              <w:top w:type="dxa" w:w="60"/>
              <w:left w:type="dxa" w:w="110"/>
              <w:bottom w:type="dxa" w:w="60"/>
              <w:right w:type="dxa" w:w="110"/>
            </w:tcMar>
          </w:tcPr>
          <w:p>
            <w:pPr>
              <w:spacing w:after="0"/>
            </w:pPr>
            <w:r>
              <w:rPr>
                <w:b/>
                <w:bCs/>
              </w:rPr>
              <w:t xml:space="preserve">none</w:t>
            </w:r>
          </w:p>
        </w:tc>
        <w:tc>
          <w:tcPr>
            <w:tcW w:type="dxa" w:w="2000"/>
            <w:tcMar>
              <w:top w:type="dxa" w:w="60"/>
              <w:left w:type="dxa" w:w="110"/>
              <w:bottom w:type="dxa" w:w="60"/>
              <w:right w:type="dxa" w:w="110"/>
            </w:tcMar>
          </w:tcPr>
          <w:p>
            <w:pPr>
              <w:spacing w:after="0"/>
            </w:pPr>
            <w:r>
              <w:rPr>
                <w:b w:val="false"/>
                <w:bCs w:val="false"/>
              </w:rPr>
              <w:t xml:space="preserve">0.92</w:t>
            </w:r>
          </w:p>
        </w:tc>
      </w:tr>
    </w:tbl>
    <w:p>
      <w:pPr>
        <w:spacing w:after="200" w:before="120"/>
      </w:pPr>
      <w:r>
        <w:rPr>
          <w:color w:val="555555"/>
          <w:sz w:val="18"/>
          <w:szCs w:val="18"/>
        </w:rPr>
        <w:t xml:space="preserve">Table 1. Lead times from cross-correlation of weekly wastewater viral percentile against weekly clinical cases. "none" indicates the correlation peaks at lag 0.</w:t>
      </w:r>
    </w:p>
    <w:p>
      <w:pPr>
        <w:spacing w:after="160" w:line="276"/>
        <w:jc w:val="left"/>
      </w:pPr>
      <w:r>
        <w:t xml:space="preserve">We now display Appalachia and West Virginia rather than hiding them. In those rows the two curves sit on top of each other and the layers have nothing to separate. The frame fails visibly, in public, which is the strongest evidence we have that it was encoding something.</w:t>
      </w:r>
    </w:p>
    <w:p>
      <w:pPr>
        <w:pStyle w:val="Heading1"/>
        <w:spacing w:after="140" w:before="300"/>
      </w:pPr>
      <w:r>
        <w:t xml:space="preserve">4. Discussion</w:t>
      </w:r>
    </w:p>
    <w:p>
      <w:pPr>
        <w:spacing w:after="160" w:line="276"/>
        <w:jc w:val="left"/>
      </w:pPr>
      <w:r>
        <w:t xml:space="preserve">For a workshop on science fiction and visualization, we offer three claims.</w:t>
      </w:r>
    </w:p>
    <w:p>
      <w:pPr>
        <w:spacing w:after="160" w:line="276"/>
        <w:jc w:val="left"/>
      </w:pPr>
      <w:r>
        <w:rPr>
          <w:b/>
          <w:bCs/>
        </w:rPr>
        <w:t xml:space="preserve">Pick frames by structural correspondence, not thematic fit.</w:t>
      </w:r>
      <w:r>
        <w:t xml:space="preserve"> Many fictions are epidemiologically evocative; almost none place a hidden layer beneath a visible one in shared space. That specific property is what does the work.</w:t>
      </w:r>
    </w:p>
    <w:p>
      <w:pPr>
        <w:spacing w:after="160" w:line="276"/>
        <w:jc w:val="left"/>
      </w:pPr>
      <w:r>
        <w:rPr>
          <w:b/>
          <w:bCs/>
        </w:rPr>
        <w:t xml:space="preserve">A speculative frame must be falsifiable.</w:t>
      </w:r>
      <w:r>
        <w:t xml:space="preserve"> Our metaphor's credibility rests on the regions where it fails. Speculative interfaces that cannot fail against real data are concept art — valuable, but a different contribution.</w:t>
      </w:r>
    </w:p>
    <w:p>
      <w:pPr>
        <w:spacing w:after="160" w:line="276"/>
        <w:jc w:val="left"/>
      </w:pPr>
      <w:r>
        <w:rPr>
          <w:b/>
          <w:bCs/>
        </w:rPr>
        <w:t xml:space="preserve">Fiction inherits its source's blind spots.</w:t>
      </w:r>
      <w:r>
        <w:t xml:space="preserve"> The Upside Down implies the underground always knows first. Surveillance infrastructure does not work that way: before late 2021 there was no underground to look at, because the sensors were not installed. A frame that cannot express </w:t>
      </w:r>
      <w:r>
        <w:rPr>
          <w:i/>
          <w:iCs/>
        </w:rPr>
        <w:t xml:space="preserve">absence of instrumentation</w:t>
      </w:r>
      <w:r>
        <w:t xml:space="preserve"> will quietly imply coverage that never existed.</w:t>
      </w:r>
    </w:p>
    <w:p>
      <w:pPr>
        <w:pStyle w:val="Heading1"/>
        <w:spacing w:after="140" w:before="300"/>
      </w:pPr>
      <w:r>
        <w:t xml:space="preserve">5. Limitations</w:t>
      </w:r>
    </w:p>
    <w:p>
      <w:pPr>
        <w:spacing w:after="160" w:line="276"/>
        <w:jc w:val="left"/>
      </w:pPr>
      <w:r>
        <w:t xml:space="preserve">Lead times are computed from aggregated weekly series at state and regional scale; sewer transit time and sampling cadence are not modeled [5]. Coverage spans Omicron and BA.5 only. The 3D effect needs WebGL and hardware-accelerated transforms, and the Mercator projection inflates northern states. We report correlations, not causal lead estimates.</w:t>
      </w:r>
    </w:p>
    <w:p>
      <w:pPr>
        <w:pStyle w:val="Heading1"/>
        <w:spacing w:after="140" w:before="300"/>
      </w:pPr>
      <w:r>
        <w:t xml:space="preserve">Figures</w:t>
      </w:r>
    </w:p>
    <w:p>
      <w:pPr>
        <w:spacing w:after="160" w:line="276"/>
        <w:jc w:val="left"/>
      </w:pPr>
      <w:r>
        <w:rPr>
          <w:b/>
          <w:bCs/>
        </w:rPr>
        <w:t xml:space="preserve">Fig. 1</w:t>
      </w:r>
      <w:r>
        <w:t xml:space="preserve"> — Tilt at 65°, both layers separated in Z. Red underground below, blue surface above, dust in the void.</w:t>
      </w:r>
    </w:p>
    <w:p>
      <w:pPr>
        <w:spacing w:after="160" w:line="276"/>
        <w:jc w:val="left"/>
      </w:pPr>
      <w:r>
        <w:rPr>
          <w:b/>
          <w:bCs/>
        </w:rPr>
        <w:t xml:space="preserve">Fig. 2</w:t>
      </w:r>
      <w:r>
        <w:t xml:space="preserve"> — Omicron detection phase: wastewater dots on the red layer before any surface cracks.</w:t>
      </w:r>
    </w:p>
    <w:p>
      <w:pPr>
        <w:spacing w:after="160" w:line="276"/>
        <w:jc w:val="left"/>
      </w:pPr>
      <w:r>
        <w:rPr>
          <w:b/>
          <w:bCs/>
        </w:rPr>
        <w:t xml:space="preserve">Fig. 3</w:t>
      </w:r>
      <w:r>
        <w:t xml:space="preserve"> — Ridgeline, Upper Midwest highlighted: a visible two-week gap between the red wastewater peak and the blue clinical curve.</w:t>
      </w:r>
    </w:p>
    <w:p>
      <w:pPr>
        <w:spacing w:after="160" w:line="276"/>
        <w:jc w:val="left"/>
      </w:pPr>
      <w:r>
        <w:rPr>
          <w:b/>
          <w:bCs/>
        </w:rPr>
        <w:t xml:space="preserve">Fig. 4</w:t>
      </w:r>
      <w:r>
        <w:t xml:space="preserve"> — Ridgeline, Appalachian highlighted: curves coincident. The counterexample.</w:t>
      </w:r>
    </w:p>
    <w:p>
      <w:pPr>
        <w:pStyle w:val="Heading1"/>
        <w:spacing w:after="140" w:before="300"/>
      </w:pPr>
      <w:r>
        <w:t xml:space="preserve">References</w:t>
      </w:r>
    </w:p>
    <w:p>
      <w:pPr>
        <w:spacing w:after="90" w:line="250"/>
        <w:ind w:left="360" w:hanging="360"/>
      </w:pPr>
      <w:r>
        <w:rPr>
          <w:sz w:val="19"/>
          <w:szCs w:val="19"/>
        </w:rPr>
        <w:t xml:space="preserve">[1] L. Byrne, D. Angus, J. Wiles. Figurative frames: a critical vocabulary for images in information visualization. Information Visualization, 18(1):45–67, 2019.</w:t>
      </w:r>
    </w:p>
    <w:p>
      <w:pPr>
        <w:spacing w:after="90" w:line="250"/>
        <w:ind w:left="360" w:hanging="360"/>
      </w:pPr>
      <w:r>
        <w:rPr>
          <w:sz w:val="19"/>
          <w:szCs w:val="19"/>
        </w:rPr>
        <w:t xml:space="preserve">[2] Centers for Disease Control and Prevention. NWSS Public SARS-CoV-2 Wastewater Metric Data, 2026. Accessed 16 Feb 2026.</w:t>
      </w:r>
    </w:p>
    <w:p>
      <w:pPr>
        <w:spacing w:after="90" w:line="250"/>
        <w:ind w:left="360" w:hanging="360"/>
      </w:pPr>
      <w:r>
        <w:rPr>
          <w:sz w:val="19"/>
          <w:szCs w:val="19"/>
        </w:rPr>
        <w:t xml:space="preserve">[3] P. M. D’Aoust et al. Catching a resurgence: SARS-CoV-2 viral RNA in wastewater 48 h before clinical tests. Sci. Total Environ., 770:145319, 2021.</w:t>
      </w:r>
    </w:p>
    <w:p>
      <w:pPr>
        <w:spacing w:after="90" w:line="250"/>
        <w:ind w:left="360" w:hanging="360"/>
      </w:pPr>
      <w:r>
        <w:rPr>
          <w:sz w:val="19"/>
          <w:szCs w:val="19"/>
        </w:rPr>
        <w:t xml:space="preserve">[4] C. North. Toward measuring visualization insight. IEEE CG&amp;A, 26(3):6–9, 2006.</w:t>
      </w:r>
    </w:p>
    <w:p>
      <w:pPr>
        <w:spacing w:after="90" w:line="250"/>
        <w:ind w:left="360" w:hanging="360"/>
      </w:pPr>
      <w:r>
        <w:rPr>
          <w:sz w:val="19"/>
          <w:szCs w:val="19"/>
        </w:rPr>
        <w:t xml:space="preserve">[5] M. Kumar, A. K. Srivastava, N. Srivastava. Lead time of early warning by wastewater surveillance for COVID-19. Chem. Eng. J., 441:135936, 2022.</w:t>
      </w:r>
    </w:p>
    <w:p>
      <w:pPr>
        <w:spacing w:after="90" w:line="250"/>
        <w:ind w:left="360" w:hanging="360"/>
      </w:pPr>
      <w:r>
        <w:rPr>
          <w:sz w:val="19"/>
          <w:szCs w:val="19"/>
        </w:rPr>
        <w:t xml:space="preserve">[6] J. Peccia et al. Measurement of SARS-CoV-2 RNA in wastewater tracks community infection dynamics. Nat. Biotechnol., 38(10):1164–1167, 2020.</w:t>
      </w:r>
    </w:p>
    <w:p>
      <w:pPr>
        <w:spacing w:after="90" w:line="250"/>
        <w:ind w:left="360" w:hanging="360"/>
      </w:pPr>
      <w:r>
        <w:rPr>
          <w:sz w:val="19"/>
          <w:szCs w:val="19"/>
        </w:rPr>
        <w:t xml:space="preserve">[7] E. Segel, J. Heer. Narrative visualization: telling stories with data. IEEE TVCG, 16(6):1139–1148, 2010.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1A1A"/>
      <w:sz w:val="26"/>
      <w:szCs w:val="26"/>
    </w:rPr>
  </w:style>
  <w:style w:type="paragraph" w:styleId="Heading2">
    <w:name w:val="Heading 2"/>
    <w:basedOn w:val="Normal"/>
    <w:next w:val="Normal"/>
    <w:qFormat/>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 Before Style: Choosing a Science-Fiction Frame That Matches the Data</dc:title>
  <dc:creator>Jacie Jermier</dc:creator>
  <cp:lastModifiedBy>Un-named</cp:lastModifiedBy>
  <cp:revision>1</cp:revision>
  <dcterms:created xsi:type="dcterms:W3CDTF">2026-07-29T14:35:52.717Z</dcterms:created>
  <dcterms:modified xsi:type="dcterms:W3CDTF">2026-07-29T14:35:52.718Z</dcterms:modified>
</cp:coreProperties>
</file>

<file path=docProps/custom.xml><?xml version="1.0" encoding="utf-8"?>
<Properties xmlns="http://schemas.openxmlformats.org/officeDocument/2006/custom-properties" xmlns:vt="http://schemas.openxmlformats.org/officeDocument/2006/docPropsVTypes"/>
</file>