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E-Commerce Customer Behavior</w:t>
      </w:r>
      <w:r w:rsidDel="00000000" w:rsidR="00000000" w:rsidRPr="00000000">
        <w:rPr>
          <w:color w:val="1f1f1f"/>
          <w:rtl w:val="0"/>
        </w:rPr>
        <w:t xml:space="preserve"> </w:t>
      </w:r>
      <w:r w:rsidDel="00000000" w:rsidR="00000000" w:rsidRPr="00000000">
        <w:rPr>
          <w:rFonts w:ascii="Arial" w:cs="Arial" w:eastAsia="Arial" w:hAnsi="Arial"/>
          <w:color w:val="1f1f1f"/>
          <w:rtl w:val="0"/>
        </w:rPr>
        <w:t xml:space="preserve">Analysis: </w:t>
      </w:r>
    </w:p>
    <w:p w:rsidR="00000000" w:rsidDel="00000000" w:rsidP="00000000" w:rsidRDefault="00000000" w:rsidRPr="00000000" w14:paraId="00000002">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Comprehensive Technical and Strategic Documentation</w:t>
      </w:r>
    </w:p>
    <w:p w:rsidR="00000000" w:rsidDel="00000000" w:rsidP="00000000" w:rsidRDefault="00000000" w:rsidRPr="00000000" w14:paraId="00000003">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1. Executive Summary</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In the contemporary digital economy, online retail infrastructures function as massive data generation engines, processing thousands of user interactions, session metadata, and final transactional events on a daily basis.[1, 1] However, a profound and pervasive operational gap exists across the sector between the mere accumulation of raw data and the strategic utilization of that intelligence. Many commercial enterprises consistently fail to optimize their digital marketing initiatives and inventory logistics due to a fundamental lack of actionable, nuanced customer insight.</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 Without the implementation of sophisticated, centralized behavioral data analytics frameworks, these businesses struggle to map intricate purchase trends across diverse geographical regions, they fail to mathematically segment their shopper base by intrinsic lifetime value, and they remain incapable of building the highly personalized retention loops necessary to preemptively reduce customer attrition and churn.</w:t>
      </w:r>
      <w:r w:rsidDel="00000000" w:rsidR="00000000" w:rsidRPr="00000000">
        <w:rPr>
          <w:rFonts w:ascii="Arial" w:cs="Arial" w:eastAsia="Arial" w:hAnsi="Arial"/>
          <w:color w:val="444746"/>
          <w:sz w:val="24"/>
          <w:szCs w:val="24"/>
          <w:vertAlign w:val="superscript"/>
          <w:rtl w:val="0"/>
        </w:rPr>
        <w:t xml:space="preserve">1</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Project 05, formally titled "E-Commerce Customer Behavior Analysis," was conceptualized and developed to directly address these systemic analytical deficiencies within the retail technology sector.</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 Engineered collaboratively by a cohort designated as "Team Spartans," this extensive capstone project represents a robust analytical ecosystem designed to transform static, historical e-commerce transaction logs into dynamic, prescriptive business intelligence.</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 The initiative provides a highly scalable solution capable of ingesting raw retail datasets, sanitizing the records, and executing complex mathematical models to isolate definitive consumer purchasing patterns.</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The primary operational mandate of the overarching project is the architectural construction of an automated, web-based behavioral customer dashboard capable of meticulously tracking historical buyer transaction histories and identifying complex purchasing patterns that are otherwise invisible to standard operational reporting.</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 By leveraging advanced programmatic data science methodologies, the analytical system successfully segments diverse consumer groups based on standardized purchase frequency models and average basket value milestones.[1, 1, 2] Furthermore, the system identifies top-performing inventory items to optimize promotional campaigns, generates granular regional revenue maps, and extracts actionable retention intelligence designed specifically to maximize long-term Customer Lifetime Value (CLV).[1, 1, 2] Through the strategic implementation of a highly modular system architecture comprising four distinct computational engines—Modules Alpha, Beta, Gamma, and Delta—the project provides a comprehensive, data-driven solution for aligning e-commerce operations with actual consumer behaviors.</w:t>
      </w:r>
      <w:r w:rsidDel="00000000" w:rsidR="00000000" w:rsidRPr="00000000">
        <w:rPr>
          <w:rFonts w:ascii="Arial" w:cs="Arial" w:eastAsia="Arial" w:hAnsi="Arial"/>
          <w:color w:val="444746"/>
          <w:sz w:val="24"/>
          <w:szCs w:val="24"/>
          <w:vertAlign w:val="superscript"/>
          <w:rtl w:val="0"/>
        </w:rPr>
        <w:t xml:space="preserve">1</w:t>
      </w:r>
    </w:p>
    <w:p w:rsidR="00000000" w:rsidDel="00000000" w:rsidP="00000000" w:rsidRDefault="00000000" w:rsidRPr="00000000" w14:paraId="00000007">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2. Contextual Industry Analysis and the Attrition Dilemma</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The architectural design and computational logic of the E-Commerce Customer Behavior Analysis platform are rooted in a highly specific, pervasive problem statement that plagues the modern online retail sector.</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 Modern e-commerce platforms, particularly those operating at a high volume, are exceptionally adept at capturing massive volumes of disparate data points. Every click, cart addition, and final checkout receipt generates a database entry. Despite this overwhelming data wealth, platforms frequently exhibit suboptimal marketing outcomes, poor inventory turnover rates, and high customer defection rates.[1, 1] The core issue stems from the technological and strategic inability to transition from descriptive statistics—such as tracking the total sales per day or total website visitors—to prescriptive behavioral analytics, which involves identifying exactly which specific customer cohorts are likely to respond to a targeted promotional discount.</w:t>
      </w:r>
      <w:r w:rsidDel="00000000" w:rsidR="00000000" w:rsidRPr="00000000">
        <w:rPr>
          <w:rFonts w:ascii="Arial" w:cs="Arial" w:eastAsia="Arial" w:hAnsi="Arial"/>
          <w:color w:val="444746"/>
          <w:sz w:val="24"/>
          <w:szCs w:val="24"/>
          <w:vertAlign w:val="superscript"/>
          <w:rtl w:val="0"/>
        </w:rPr>
        <w:t xml:space="preserve">1</w:t>
      </w:r>
    </w:p>
    <w:p w:rsidR="00000000" w:rsidDel="00000000" w:rsidP="00000000" w:rsidRDefault="00000000" w:rsidRPr="00000000" w14:paraId="00000009">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2.1 The Challenge of Regional and Demographic Discrepancies</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Without a centralized, automated behavioral data analytics framework, modern businesses struggle severely to accurately map purchase trends across diverse international and domestic regions.</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 E-commerce is inherently borderless from a digital perspective, yet physical logistics, localized marketing resonances, and consumer purchasing behaviors remain strictly constrained by geography. Consumer preferences, regional purchasing power, and localized seasonal demands vary significantly from one geographic locale to another. A universal, untargeted marketing approach invariably leads to highly inefficient capital allocation, where vast promotional budgets are exhausted on demographic segments that demonstrate exceedingly low conversion probabilities.</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 The inability to map geographic growth accurately stunts an enterprise's ability to allocate warehousing strategically or target specific jurisdictions for expansion.</w:t>
      </w:r>
      <w:r w:rsidDel="00000000" w:rsidR="00000000" w:rsidRPr="00000000">
        <w:rPr>
          <w:rFonts w:ascii="Arial" w:cs="Arial" w:eastAsia="Arial" w:hAnsi="Arial"/>
          <w:color w:val="444746"/>
          <w:sz w:val="24"/>
          <w:szCs w:val="24"/>
          <w:vertAlign w:val="superscript"/>
          <w:rtl w:val="0"/>
        </w:rPr>
        <w:t xml:space="preserve">1</w:t>
      </w:r>
    </w:p>
    <w:p w:rsidR="00000000" w:rsidDel="00000000" w:rsidP="00000000" w:rsidRDefault="00000000" w:rsidRPr="00000000" w14:paraId="0000000B">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2.2 The Complexity of Value-Based Consumer Segmentation</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Furthermore, a lack of deep computational insight inherently inhibits a retailer's ability to segment shoppers by their true underlying value.</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 In almost any retail or digital ecosystem, the economic Pareto Principle applies, wherein a small percentage of the total customer base generates a disproportionately large percentage of the platform's total revenue. Failing to systematically identify these high-value individuals prevents the business from offering preferential treatment, executing targeted loyalty rewards, or providing dedicated account management.</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 When a business treats a one-time, low-value purchaser with the exact same marketing cadence and customer service priority as a high-frequency, high-value loyalist, the business inevitably risks alienating its most profitable demographic, thereby increasing the risk of immediate defection to competitor platforms that offer superior personalization.</w:t>
      </w:r>
      <w:r w:rsidDel="00000000" w:rsidR="00000000" w:rsidRPr="00000000">
        <w:rPr>
          <w:rFonts w:ascii="Arial" w:cs="Arial" w:eastAsia="Arial" w:hAnsi="Arial"/>
          <w:color w:val="444746"/>
          <w:sz w:val="24"/>
          <w:szCs w:val="24"/>
          <w:vertAlign w:val="superscript"/>
          <w:rtl w:val="0"/>
        </w:rPr>
        <w:t xml:space="preserve">2</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line="275.9999942779541" w:lineRule="auto"/>
        <w:rPr>
          <w:color w:val="444746"/>
          <w:sz w:val="24"/>
          <w:szCs w:val="24"/>
          <w:vertAlign w:val="superscript"/>
        </w:rPr>
      </w:pPr>
      <w:r w:rsidDel="00000000" w:rsidR="00000000" w:rsidRPr="00000000">
        <w:rPr>
          <w:rtl w:val="0"/>
        </w:rPr>
      </w:r>
    </w:p>
    <w:p w:rsidR="00000000" w:rsidDel="00000000" w:rsidP="00000000" w:rsidRDefault="00000000" w:rsidRPr="00000000" w14:paraId="0000000E">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2.3 The Customer Attrition and Churn Dilemma</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Perhaps the most significant and persistent challenge in the modern e-commerce landscape is the difficulty in building personalized, automated retention loops specifically designed to mitigate customer churn.</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 Customer churn, defined as the rate at which existing users completely cease their purchasing behavior over a standardized timeframe, is widely considered one of the most critical operational metrics in digital retail. Economically, acquiring a net-new customer through paid advertising, search engine marketing, or affiliate programs requires substantially more capital than retaining an existing customer who has already navigated the platform's onboarding friction. Without deep visibility into the behavioral indicators that statistically precede churn—such as a sudden decline in purchase frequency, an expanding time gap between sessions, or decreasing average order values—businesses are forced into highly reactive, rather than proactive, retention strategies.</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 This platform was conceptualized to solve this specific dilemma by providing the mathematical modeling required to identify attrition before it permanently impacts the revenue cycle.</w:t>
      </w:r>
    </w:p>
    <w:p w:rsidR="00000000" w:rsidDel="00000000" w:rsidP="00000000" w:rsidRDefault="00000000" w:rsidRPr="00000000" w14:paraId="00000010">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3. Strategic and Operational Directives</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To construct a robust, highly functional technological solution to the aforementioned industry challenges, the project development lifecycle was rigidly structured around four distinct, measurable operational directives.[1, 1, 2] These directives serve as the strategic foundation, dictating the necessary feature engineering, database architecture, and user interface design required for the final application deployment.</w:t>
      </w:r>
    </w:p>
    <w:p w:rsidR="00000000" w:rsidDel="00000000" w:rsidP="00000000" w:rsidRDefault="00000000" w:rsidRPr="00000000" w14:paraId="00000012">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Operational Directive 1: Construction of a Dynamic Behavioral Dashboard:</w:t>
      </w:r>
      <w:r w:rsidDel="00000000" w:rsidR="00000000" w:rsidRPr="00000000">
        <w:rPr>
          <w:rFonts w:ascii="Arial" w:cs="Arial" w:eastAsia="Arial" w:hAnsi="Arial"/>
          <w:color w:val="1f1f1f"/>
          <w:rtl w:val="0"/>
        </w:rPr>
        <w:t xml:space="preserve"> The primary mandate is to engineer and deploy a dynamic behavioral customer dashboard explicitly capable of tracking historical buyer transaction histories and granular, long-term purchasing patterns. This web-based interface must serve as the primary visual and interactive conduit for business stakeholders, completely replacing static, localized spreadsheet reporting with a live, querying engine.</w:t>
      </w:r>
      <w:r w:rsidDel="00000000" w:rsidR="00000000" w:rsidRPr="00000000">
        <w:rPr>
          <w:rFonts w:ascii="Arial" w:cs="Arial" w:eastAsia="Arial" w:hAnsi="Arial"/>
          <w:color w:val="444746"/>
          <w:sz w:val="24"/>
          <w:szCs w:val="24"/>
          <w:vertAlign w:val="superscript"/>
          <w:rtl w:val="0"/>
        </w:rPr>
        <w:t xml:space="preserve">1</w:t>
      </w:r>
    </w:p>
    <w:p w:rsidR="00000000" w:rsidDel="00000000" w:rsidP="00000000" w:rsidRDefault="00000000" w:rsidRPr="00000000" w14:paraId="00000013">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Operational Directive 2: Algorithmic Consumer Segmentation:</w:t>
      </w:r>
      <w:r w:rsidDel="00000000" w:rsidR="00000000" w:rsidRPr="00000000">
        <w:rPr>
          <w:rFonts w:ascii="Arial" w:cs="Arial" w:eastAsia="Arial" w:hAnsi="Arial"/>
          <w:color w:val="1f1f1f"/>
          <w:rtl w:val="0"/>
        </w:rPr>
        <w:t xml:space="preserve"> The system must possess the capability to segment diverse consumer groups mathematically based on historical purchase frequency and average basket value milestones. Specifically, the architecture must utilize Recency, Frequency, and Monetary (RFM) frameworks to categorize every individual user within the database into distinct, actionable marketing cohorts.[1, 1, 2]</w:t>
      </w:r>
    </w:p>
    <w:p w:rsidR="00000000" w:rsidDel="00000000" w:rsidP="00000000" w:rsidRDefault="00000000" w:rsidRPr="00000000" w14:paraId="00000014">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Operational Directive 3: Catalog and Product Optimization:</w:t>
      </w:r>
      <w:r w:rsidDel="00000000" w:rsidR="00000000" w:rsidRPr="00000000">
        <w:rPr>
          <w:rFonts w:ascii="Arial" w:cs="Arial" w:eastAsia="Arial" w:hAnsi="Arial"/>
          <w:color w:val="1f1f1f"/>
          <w:rtl w:val="0"/>
        </w:rPr>
        <w:t xml:space="preserve"> The platform is directed to systematically identify top-performing catalog items and trace longitudinal product performance trends. This intelligence is strictly required to allow merchandising teams to optimize targeted marketing campaigns, renegotiate supplier contracts based on proven volume, and mathematically reorganize inventory layouts for maximum conversion efficiency and reduced storage overhead.[1, 1, 2]</w:t>
      </w:r>
    </w:p>
    <w:p w:rsidR="00000000" w:rsidDel="00000000" w:rsidP="00000000" w:rsidRDefault="00000000" w:rsidRPr="00000000" w14:paraId="00000015">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Operational Directive 4: Generation of Predictive Retention Insights:</w:t>
      </w:r>
      <w:r w:rsidDel="00000000" w:rsidR="00000000" w:rsidRPr="00000000">
        <w:rPr>
          <w:rFonts w:ascii="Arial" w:cs="Arial" w:eastAsia="Arial" w:hAnsi="Arial"/>
          <w:color w:val="1f1f1f"/>
          <w:rtl w:val="0"/>
        </w:rPr>
        <w:t xml:space="preserve"> The final directive dictates that the system must generate actionable, data-driven retention insights designed explicitly to maximize long-term Customer Lifetime Value (CLV) numbers. By understanding behavioral shifts, the system enables enterprise marketing teams to engineer highly customized retention loops, delivering the right incentive to the right user at the exact moment their engagement begins to wane.</w:t>
      </w:r>
      <w:r w:rsidDel="00000000" w:rsidR="00000000" w:rsidRPr="00000000">
        <w:rPr>
          <w:rFonts w:ascii="Arial" w:cs="Arial" w:eastAsia="Arial" w:hAnsi="Arial"/>
          <w:color w:val="444746"/>
          <w:sz w:val="24"/>
          <w:szCs w:val="24"/>
          <w:vertAlign w:val="superscript"/>
          <w:rtl w:val="0"/>
        </w:rPr>
        <w:t xml:space="preserve">1</w:t>
      </w:r>
    </w:p>
    <w:p w:rsidR="00000000" w:rsidDel="00000000" w:rsidP="00000000" w:rsidRDefault="00000000" w:rsidRPr="00000000" w14:paraId="00000016">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4. Technological Infrastructure and Programmatic Stack</w:t>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execution and deployment of the E-Commerce Customer Behavior Analysis project rely on a highly modern, robust, and tightly integrated software technology stack.</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 The technical architecture fundamentally fuses programmatic data manipulation libraries with scalable, serverless database management systems and reactive web development frameworks, ensuring the application is both computationally efficient and highly accessible to non-technical stakeholders.</w:t>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core technological mechanisms utilized in the system's architecture are thoroughly detailed in the matrix below [1, 1, 2]:</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tl w:val="0"/>
        </w:rPr>
      </w:r>
    </w:p>
    <w:tbl>
      <w:tblPr>
        <w:tblStyle w:val="Table1"/>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Technological Framework / Methodology</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Execution Application within the Project Lifecycle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Functional Description and System Role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Python</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Programmatic Execution Stack</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shd w:fill="auto" w:val="clear"/>
                <w:rtl w:val="0"/>
              </w:rPr>
              <w:t xml:space="preserve">Serves as the core logic foundation and primary runtime environment for the entire application, orchestrating file ingestion, executing complex computational mathematics, managing memory, and handling backend routing parameters.</w:t>
            </w:r>
            <w:r w:rsidDel="00000000" w:rsidR="00000000" w:rsidRPr="00000000">
              <w:rPr>
                <w:rFonts w:ascii="Arial" w:cs="Arial" w:eastAsia="Arial" w:hAnsi="Arial"/>
                <w:color w:val="444746"/>
                <w:sz w:val="24"/>
                <w:szCs w:val="24"/>
                <w:vertAlign w:val="superscript"/>
                <w:rtl w:val="0"/>
              </w:rPr>
              <w:t xml:space="preserve">1</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Pandas (Python Library)</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High-Performance Data Manipulation</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shd w:fill="auto" w:val="clear"/>
                <w:rtl w:val="0"/>
              </w:rPr>
              <w:t xml:space="preserve">Leveraged heavily for robust transactional data groupings, cleaning systemic anomalies, and executing the complex vectorized aggregations (such as .groupby() and .agg() operations) inherently required for RFM matrix generation across thousands of rows.</w:t>
            </w:r>
            <w:r w:rsidDel="00000000" w:rsidR="00000000" w:rsidRPr="00000000">
              <w:rPr>
                <w:rFonts w:ascii="Arial" w:cs="Arial" w:eastAsia="Arial" w:hAnsi="Arial"/>
                <w:color w:val="444746"/>
                <w:sz w:val="24"/>
                <w:szCs w:val="24"/>
                <w:vertAlign w:val="superscript"/>
                <w:rtl w:val="0"/>
              </w:rPr>
              <w:t xml:space="preserve">1</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Streamlit</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Reactive Web Application Framework</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Utilized exclusively for the rapid development, rendering, and deployment of the interactive, real-time business insights web application. Streamlit natively handles the dynamic rendering of operational KPIs, interactive charts, and application state management without requiring external JavaScript.[1, 1, 2]</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Structured SQL</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Database Querying and Management</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Implemented programmatically for generating specific customer extraction keys, establishing and managing relational data tables, filtering large subsets of geographic data, and executing highly efficient, indexed data retrieval queries directly to the frontend.[1, 1, 2]</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SQLite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Persistent Storage Infrastructure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shd w:fill="auto" w:val="clear"/>
                <w:rtl w:val="0"/>
              </w:rPr>
              <w:t xml:space="preserve">Acts as the lightweight, serverless relational database engine. The Python backend is programmed to parse raw data and build the SQLite database schema directly upon initialization to ensure rapid, consistent, and structured data access across all modular subsystems.</w:t>
            </w:r>
            <w:r w:rsidDel="00000000" w:rsidR="00000000" w:rsidRPr="00000000">
              <w:rPr>
                <w:rFonts w:ascii="Arial" w:cs="Arial" w:eastAsia="Arial" w:hAnsi="Arial"/>
                <w:color w:val="444746"/>
                <w:sz w:val="24"/>
                <w:szCs w:val="24"/>
                <w:vertAlign w:val="superscript"/>
                <w:rtl w:val="0"/>
              </w:rPr>
              <w:t xml:space="preserve">1</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Spreadsheet Engineering</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Preliminary Mathematical Modeling</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shd w:fill="auto" w:val="clear"/>
                <w:rtl w:val="0"/>
              </w:rPr>
              <w:t xml:space="preserve">Applies advanced RFM Matrix Frameworks, complex Filter Configurations, and preliminary Customer Grouping Charts to validate and structure the raw datasets prior to executing the programmatic ingestion pipeline.</w:t>
            </w:r>
            <w:r w:rsidDel="00000000" w:rsidR="00000000" w:rsidRPr="00000000">
              <w:rPr>
                <w:rFonts w:ascii="Arial" w:cs="Arial" w:eastAsia="Arial" w:hAnsi="Arial"/>
                <w:color w:val="444746"/>
                <w:sz w:val="24"/>
                <w:szCs w:val="24"/>
                <w:vertAlign w:val="superscript"/>
                <w:rtl w:val="0"/>
              </w:rPr>
              <w:t xml:space="preserve">1</w:t>
            </w:r>
          </w:p>
        </w:tc>
      </w:tr>
    </w:tbl>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underlying development methodology relies heavily on a highly sequential, meticulously constructed data pipeline architecture. Initially, massive volumes of raw transaction records are collected from the designated dataset sources.</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 This raw, unstructured dataset undergoes rigorous programmatic cleaning using the Pandas library to execute conditional logic, drop invalid entries, and extract valid, usable features.</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 Once the data frame is sanitized and structurally sound, it is automatically serialized and loaded into the SQLite database architecture via structured query language insertion commands.</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 The frontend Streamlit framework is then configured to interface directly with this localized database, executing read-only SQL queries to pull the highly structured data into the presentation layer for immediate, real-time visual rendering.</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 This decoupled architecture ensures that the heavy computational lifting is performed only once during the database build phase, rather than repetitively upon every user interaction in the dashboard.</w:t>
      </w:r>
    </w:p>
    <w:p w:rsidR="00000000" w:rsidDel="00000000" w:rsidP="00000000" w:rsidRDefault="00000000" w:rsidRPr="00000000" w14:paraId="00000030">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4.1 Advanced Streamlit Multipage Architecture Integration</w:t>
      </w:r>
    </w:p>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A critical component of the platform's user interface infrastructure relies on Streamlit's advanced routing capabilities for managing highly complex, multi-faceted analytical dashboards. As the scope of the behavioral analysis expanded across preprocessing, segmentation, catalog performance, and geographic mapping, maintaining all computations and visual renderings on a single application page became computationally prohibitive and visually overwhelming.</w:t>
      </w:r>
    </w:p>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Consequently, the system integrates Streamlit's native multipage application architecture. The standard protocol for multipage deployment involves utilizing a dedicated pages/ directory structure.</w:t>
      </w:r>
      <w:r w:rsidDel="00000000" w:rsidR="00000000" w:rsidRPr="00000000">
        <w:rPr>
          <w:rFonts w:ascii="Arial" w:cs="Arial" w:eastAsia="Arial" w:hAnsi="Arial"/>
          <w:color w:val="444746"/>
          <w:sz w:val="24"/>
          <w:szCs w:val="24"/>
          <w:vertAlign w:val="superscript"/>
          <w:rtl w:val="0"/>
        </w:rPr>
        <w:t xml:space="preserve">3</w:t>
      </w:r>
      <w:r w:rsidDel="00000000" w:rsidR="00000000" w:rsidRPr="00000000">
        <w:rPr>
          <w:rFonts w:ascii="Arial" w:cs="Arial" w:eastAsia="Arial" w:hAnsi="Arial"/>
          <w:color w:val="1f1f1f"/>
          <w:rtl w:val="0"/>
        </w:rPr>
        <w:t xml:space="preserve"> In this configuration, the primary entry point script operates as the overarching home page and authentication gateway. By placing supplementary Python modules directly within an adjacent pages/ directory, the framework automatically recognizes these files and seamlessly renders them within a unified navigation widget anchored to the application's interactive sidebar.</w:t>
      </w:r>
      <w:r w:rsidDel="00000000" w:rsidR="00000000" w:rsidRPr="00000000">
        <w:rPr>
          <w:rFonts w:ascii="Arial" w:cs="Arial" w:eastAsia="Arial" w:hAnsi="Arial"/>
          <w:color w:val="444746"/>
          <w:sz w:val="24"/>
          <w:szCs w:val="24"/>
          <w:vertAlign w:val="superscript"/>
          <w:rtl w:val="0"/>
        </w:rPr>
        <w:t xml:space="preserve">3</w:t>
      </w:r>
    </w:p>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This specific directory-based routing protocol significantly reduces development friction. The Streamlit engine parses the directory, dynamically assigning automatic page labels and URLs based on the specific nomenclature of the files, seamlessly sorting them if numerical prefixes are utilized by the developers.</w:t>
      </w:r>
      <w:r w:rsidDel="00000000" w:rsidR="00000000" w:rsidRPr="00000000">
        <w:rPr>
          <w:rFonts w:ascii="Arial" w:cs="Arial" w:eastAsia="Arial" w:hAnsi="Arial"/>
          <w:color w:val="444746"/>
          <w:sz w:val="24"/>
          <w:szCs w:val="24"/>
          <w:vertAlign w:val="superscript"/>
          <w:rtl w:val="0"/>
        </w:rPr>
        <w:t xml:space="preserve">3</w:t>
      </w:r>
      <w:r w:rsidDel="00000000" w:rsidR="00000000" w:rsidRPr="00000000">
        <w:rPr>
          <w:rFonts w:ascii="Arial" w:cs="Arial" w:eastAsia="Arial" w:hAnsi="Arial"/>
          <w:color w:val="1f1f1f"/>
          <w:rtl w:val="0"/>
        </w:rPr>
        <w:t xml:space="preserve"> This ensures that stakeholders can effortlessly transition between the RFM matrix view, the geographic mapping tools, and the product analytics view without triggering a complete computational reload of the underlying dataset, thereby preserving session state and optimizing overall application performance.</w:t>
      </w:r>
    </w:p>
    <w:p w:rsidR="00000000" w:rsidDel="00000000" w:rsidP="00000000" w:rsidRDefault="00000000" w:rsidRPr="00000000" w14:paraId="00000034">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5. Dataset Architecture and Feature Engineering Deep Dive</w:t>
      </w:r>
    </w:p>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fundamental efficacy of any sophisticated behavioral analysis system is entirely predicated upon the structural integrity, cleanliness, and depth of the underlying data architecture. Garbage in inherently results in garbage out. For this specific project, the application pipeline was engineered to ingest and analyze the </w:t>
      </w:r>
      <w:r w:rsidDel="00000000" w:rsidR="00000000" w:rsidRPr="00000000">
        <w:rPr>
          <w:rFonts w:ascii="Arial" w:cs="Arial" w:eastAsia="Arial" w:hAnsi="Arial"/>
          <w:b w:val="1"/>
          <w:bCs w:val="1"/>
          <w:color w:val="1f1f1f"/>
          <w:rtl w:val="0"/>
        </w:rPr>
        <w:t xml:space="preserve">Online Retail Dataset</w:t>
      </w:r>
      <w:r w:rsidDel="00000000" w:rsidR="00000000" w:rsidRPr="00000000">
        <w:rPr>
          <w:rFonts w:ascii="Arial" w:cs="Arial" w:eastAsia="Arial" w:hAnsi="Arial"/>
          <w:color w:val="1f1f1f"/>
          <w:rtl w:val="0"/>
        </w:rPr>
        <w:t xml:space="preserve"> sourced from the UCI Machine Learning Repository. Originating from a UK-based online gift retailer, this dataset captures behavioral data over a time range from December 2010 to December 2011, boasting a size of approximately </w:t>
      </w:r>
      <w:r w:rsidDel="00000000" w:rsidR="00000000" w:rsidRPr="00000000">
        <w:rPr>
          <w:rFonts w:ascii="Arial" w:cs="Arial" w:eastAsia="Arial" w:hAnsi="Arial"/>
          <w:b w:val="1"/>
          <w:bCs w:val="1"/>
          <w:color w:val="1f1f1f"/>
          <w:rtl w:val="0"/>
        </w:rPr>
        <w:t xml:space="preserve">540,000 transactions</w:t>
      </w:r>
      <w:r w:rsidDel="00000000" w:rsidR="00000000" w:rsidRPr="00000000">
        <w:rPr>
          <w:rFonts w:ascii="Arial" w:cs="Arial" w:eastAsia="Arial" w:hAnsi="Arial"/>
          <w:color w:val="1f1f1f"/>
          <w:rtl w:val="0"/>
        </w:rPr>
        <w:t xml:space="preserve"> structured across 8 core columns: InvoiceNo, StockCode, Description, Quantity, InvoiceDate, UnitPrice, CustomerID, and Country.</w:t>
      </w:r>
    </w:p>
    <w:p w:rsidR="00000000" w:rsidDel="00000000" w:rsidP="00000000" w:rsidRDefault="00000000" w:rsidRPr="00000000" w14:paraId="00000036">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5.1 Comprehensive Dataset Features and Structural Taxonomy</w:t>
      </w:r>
    </w:p>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dataset features are strictly categorized into three distinct operational classifications, providing a rigid, structured taxonomy necessary for executing programmatic relational database operations:</w:t>
      </w:r>
    </w:p>
    <w:p w:rsidR="00000000" w:rsidDel="00000000" w:rsidP="00000000" w:rsidRDefault="00000000" w:rsidRPr="00000000" w14:paraId="00000038">
      <w:pPr>
        <w:numPr>
          <w:ilvl w:val="0"/>
          <w:numId w:val="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Feature Row A: Buyer Verification and Identity Rows:</w:t>
      </w:r>
      <w:r w:rsidDel="00000000" w:rsidR="00000000" w:rsidRPr="00000000">
        <w:rPr>
          <w:rFonts w:ascii="Arial" w:cs="Arial" w:eastAsia="Arial" w:hAnsi="Arial"/>
          <w:color w:val="1f1f1f"/>
          <w:rtl w:val="0"/>
        </w:rPr>
        <w:t xml:space="preserve"> These constitute the unique identifiers utilized specifically to trace individual longitudinal behavior across multiple sessions. They contain the specific alphanumeric CustomerID strings, which are absolutely vital for attributing multiple distinct purchases to a single entity, and localized Country classifications, which establish the user's geographical origin and shipping logistics. Without perfectly sanitized Buyer Verification rows, RFM analysis is computationally impossible.</w:t>
      </w:r>
    </w:p>
    <w:p w:rsidR="00000000" w:rsidDel="00000000" w:rsidP="00000000" w:rsidRDefault="00000000" w:rsidRPr="00000000" w14:paraId="00000039">
      <w:pPr>
        <w:numPr>
          <w:ilvl w:val="0"/>
          <w:numId w:val="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Feature Row B: Item Context and Catalog Variables:</w:t>
      </w:r>
      <w:r w:rsidDel="00000000" w:rsidR="00000000" w:rsidRPr="00000000">
        <w:rPr>
          <w:rFonts w:ascii="Arial" w:cs="Arial" w:eastAsia="Arial" w:hAnsi="Arial"/>
          <w:color w:val="1f1f1f"/>
          <w:rtl w:val="0"/>
        </w:rPr>
        <w:t xml:space="preserve"> These are descriptive, highly qualitative fields that provide contextual intelligence to the quantitative transactions. They meticulously track the individual Description (product names) and standardized StockCode metadata. This contextual data is utilized extensively by the inventory optimization modules to identify exactly which items are moving.</w:t>
      </w:r>
    </w:p>
    <w:p w:rsidR="00000000" w:rsidDel="00000000" w:rsidP="00000000" w:rsidRDefault="00000000" w:rsidRPr="00000000" w14:paraId="0000003A">
      <w:pPr>
        <w:numPr>
          <w:ilvl w:val="0"/>
          <w:numId w:val="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Feature Row C: Transaction Performance and Financial Parameters:</w:t>
      </w:r>
      <w:r w:rsidDel="00000000" w:rsidR="00000000" w:rsidRPr="00000000">
        <w:rPr>
          <w:rFonts w:ascii="Arial" w:cs="Arial" w:eastAsia="Arial" w:hAnsi="Arial"/>
          <w:color w:val="1f1f1f"/>
          <w:rtl w:val="0"/>
        </w:rPr>
        <w:t xml:space="preserve"> These represent the purely quantitative metrics strictly required for all mathematical modeling, revenue forecasting, and economic calculations. They continuously monitor the exact Quantity metrics (number of items purchased in a single event), the corresponding UnitPrice valuations, the precise InvoiceDate temporal timestamps, and the unique InvoiceNo tracking the cart checkout event.</w:t>
      </w:r>
    </w:p>
    <w:p w:rsidR="00000000" w:rsidDel="00000000" w:rsidP="00000000" w:rsidRDefault="00000000" w:rsidRPr="00000000" w14:paraId="0000003B">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5.2 Metric Extraction and the Generation of Synthetic Variables</w:t>
      </w:r>
    </w:p>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During the initial ingestion process, the automated data processing pipeline aggressively cleans the raw input files to isolate and extract only the most critical operational fields.</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 The core fields isolated for downstream architectural analysis explicitly include InvoiceNo, UnitPrice, CustomerID, and Country.</w:t>
      </w:r>
      <w:r w:rsidDel="00000000" w:rsidR="00000000" w:rsidRPr="00000000">
        <w:rPr>
          <w:rFonts w:ascii="Arial" w:cs="Arial" w:eastAsia="Arial" w:hAnsi="Arial"/>
          <w:color w:val="444746"/>
          <w:sz w:val="24"/>
          <w:szCs w:val="24"/>
          <w:vertAlign w:val="superscript"/>
          <w:rtl w:val="0"/>
        </w:rPr>
        <w:t xml:space="preserve">2</w:t>
      </w:r>
    </w:p>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However, raw data rarely provides the exact metrics required for advanced business intelligence. To facilitate the highly complex RFM segmentation and the subsequent regional revenue mapping modules, the programmatic system dynamically calculates and appends a comprehensive, synthetic Sales feature for every single operational row within the dataframe.</w:t>
      </w:r>
      <w:r w:rsidDel="00000000" w:rsidR="00000000" w:rsidRPr="00000000">
        <w:rPr>
          <w:rFonts w:ascii="Arial" w:cs="Arial" w:eastAsia="Arial" w:hAnsi="Arial"/>
          <w:color w:val="444746"/>
          <w:sz w:val="24"/>
          <w:szCs w:val="24"/>
          <w:vertAlign w:val="superscript"/>
          <w:rtl w:val="0"/>
        </w:rPr>
        <w:t xml:space="preserve">2</w:t>
      </w:r>
      <w:r w:rsidDel="00000000" w:rsidR="00000000" w:rsidRPr="00000000">
        <w:rPr>
          <w:rFonts w:ascii="Arial" w:cs="Arial" w:eastAsia="Arial" w:hAnsi="Arial"/>
          <w:color w:val="1f1f1f"/>
          <w:rtl w:val="0"/>
        </w:rPr>
        <w:t xml:space="preserve"> This newly engineered feature is achieved by programmatically multiplying the integer Quantity parameter by the floating-point UnitPrice parameter on a row-by-row basis. This calculation yields the exact gross transaction value for every individual line item purchased. This newly synthesized Sales variable instantly becomes the primary monetary input driving the entire analytical ecosystem, feeding directly into the 'Monetary' component of the RFM engine and serving as the baseline for all geographic revenue aggregation computations.</w:t>
      </w:r>
    </w:p>
    <w:p w:rsidR="00000000" w:rsidDel="00000000" w:rsidP="00000000" w:rsidRDefault="00000000" w:rsidRPr="00000000" w14:paraId="0000003E">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6. Modular System Architecture: Preprocessing to Visualization</w:t>
      </w:r>
    </w:p>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computational logic and algorithmic execution of the entire project are strictly and intentionally segregated into four highly modular, interdependent subsystems.[1, 1] This rigid modular architecture allows for entirely independent data processing, significantly easier algorithmic debugging, seamless scalability, and highly dynamic loading capabilities within the frontend Streamlit interface.</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 By isolating the logic, the system ensures that an error in geographic mapping does not inherently crash the core segmentation engine.</w:t>
      </w:r>
    </w:p>
    <w:p w:rsidR="00000000" w:rsidDel="00000000" w:rsidP="00000000" w:rsidRDefault="00000000" w:rsidRPr="00000000" w14:paraId="00000040">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6.1 Module Alpha: The Consumer Log Handler (Advanced Data Preprocessing)</w:t>
      </w:r>
    </w:p>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Before any advanced behavioral analytics or mathematical modeling can be accurately performed, the raw transactional data must be deeply normalized and mathematically sanitized. Module Alpha operates specifically as the system's Consumer Log Handler.</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 Its primary, critical function is to aggressively standardize diverse transaction receipt rows, historical invoice tables, and chaotic website order data to ensure maximum data integrity before the data is committed to the permanent database.</w:t>
      </w:r>
      <w:r w:rsidDel="00000000" w:rsidR="00000000" w:rsidRPr="00000000">
        <w:rPr>
          <w:rFonts w:ascii="Arial" w:cs="Arial" w:eastAsia="Arial" w:hAnsi="Arial"/>
          <w:color w:val="444746"/>
          <w:sz w:val="24"/>
          <w:szCs w:val="24"/>
          <w:vertAlign w:val="superscript"/>
          <w:rtl w:val="0"/>
        </w:rPr>
        <w:t xml:space="preserve">1</w:t>
      </w:r>
    </w:p>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standard Online Retail dataset used across the industry is notoriously problematic, frequently containing systemic operational anomalies such as missing customer identifiers, highly skewed negative quantities representing product returns or administrative cancellations, and duplicate database entries resulting from simultaneous server writes.</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 Module Alpha executes a comprehensive series of rigorous, programmatic filtering configurations utilizing Pandas logic.[1, 1] It aggressively filters out invalid, corrupt, or fundamentally incomplete transactional records, specifically targeting </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43">
      <w:pPr>
        <w:numPr>
          <w:ilvl w:val="0"/>
          <w:numId w:val="3"/>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Missing CustomerID Rows:</w:t>
      </w:r>
      <w:r w:rsidDel="00000000" w:rsidR="00000000" w:rsidRPr="00000000">
        <w:rPr>
          <w:rFonts w:ascii="Arial" w:cs="Arial" w:eastAsia="Arial" w:hAnsi="Arial"/>
          <w:color w:val="1f1f1f"/>
          <w:rtl w:val="0"/>
        </w:rPr>
        <w:t xml:space="preserve"> Transactions lacking a unique identifier cannot, under any mathematical circumstance, be attributed to a specific user's behavioral profile. These orphaned records distort revenue metrics but break frequency tracking, and thus are programmatically isolated and removed from the core behavioral modeling datasets.</w:t>
      </w:r>
    </w:p>
    <w:p w:rsidR="00000000" w:rsidDel="00000000" w:rsidP="00000000" w:rsidRDefault="00000000" w:rsidRPr="00000000" w14:paraId="00000044">
      <w:pPr>
        <w:numPr>
          <w:ilvl w:val="0"/>
          <w:numId w:val="3"/>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Cancelled and Returned Orders:</w:t>
      </w:r>
      <w:r w:rsidDel="00000000" w:rsidR="00000000" w:rsidRPr="00000000">
        <w:rPr>
          <w:rFonts w:ascii="Arial" w:cs="Arial" w:eastAsia="Arial" w:hAnsi="Arial"/>
          <w:color w:val="1f1f1f"/>
          <w:rtl w:val="0"/>
        </w:rPr>
        <w:t xml:space="preserve"> Transactions marked with specific cancellation codes or bearing negative quantities artificially inflate overall purchase frequency metrics while destroying net revenue calculations if left unchecked. The logic handler parses the strings to identify and neutralize these anomalies.</w:t>
      </w:r>
    </w:p>
    <w:p w:rsidR="00000000" w:rsidDel="00000000" w:rsidP="00000000" w:rsidRDefault="00000000" w:rsidRPr="00000000" w14:paraId="00000045">
      <w:pPr>
        <w:numPr>
          <w:ilvl w:val="0"/>
          <w:numId w:val="3"/>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Duplicate Transactional Records:</w:t>
      </w:r>
      <w:r w:rsidDel="00000000" w:rsidR="00000000" w:rsidRPr="00000000">
        <w:rPr>
          <w:rFonts w:ascii="Arial" w:cs="Arial" w:eastAsia="Arial" w:hAnsi="Arial"/>
          <w:color w:val="1f1f1f"/>
          <w:rtl w:val="0"/>
        </w:rPr>
        <w:t xml:space="preserve"> Duplicates resulting from API failures or system logging errors artificially double the perceived frequency and monetary value of a customer. Module Alpha utilizes drop-duplicate protocols to ensure every transaction is highly unique.</w:t>
      </w:r>
    </w:p>
    <w:p w:rsidR="00000000" w:rsidDel="00000000" w:rsidP="00000000" w:rsidRDefault="00000000" w:rsidRPr="00000000" w14:paraId="00000046">
      <w:pPr>
        <w:numPr>
          <w:ilvl w:val="0"/>
          <w:numId w:val="3"/>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Pricing and Quantity Anomalies:</w:t>
      </w:r>
      <w:r w:rsidDel="00000000" w:rsidR="00000000" w:rsidRPr="00000000">
        <w:rPr>
          <w:rFonts w:ascii="Arial" w:cs="Arial" w:eastAsia="Arial" w:hAnsi="Arial"/>
          <w:color w:val="1f1f1f"/>
          <w:rtl w:val="0"/>
        </w:rPr>
        <w:t xml:space="preserve"> Transactions exhibiting wildly incorrect, zero, or completely illogical quantity and price parameters are flagged and stripped to prevent extreme mathematical outliers from skewing the mean averages.</w:t>
      </w:r>
      <w:r w:rsidDel="00000000" w:rsidR="00000000" w:rsidRPr="00000000">
        <w:rPr>
          <w:rFonts w:ascii="Arial" w:cs="Arial" w:eastAsia="Arial" w:hAnsi="Arial"/>
          <w:color w:val="444746"/>
          <w:sz w:val="24"/>
          <w:szCs w:val="24"/>
          <w:vertAlign w:val="superscript"/>
          <w:rtl w:val="0"/>
        </w:rPr>
        <w:t xml:space="preserve">1</w:t>
      </w:r>
    </w:p>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Upon the successful execution of these highly rigorous cleaning protocols, Module Alpha automatically serializes the refined data and loads it directly into the localized SQLite database architecture.</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 This automated, code-driven build process guarantees that whenever net-new raw transaction data becomes available to the enterprise, the analytical system can seamlessly rebuild the database dynamically. This guarantees perfectly consistent, optimized, and highly reliable data access points across all downstream analytical modules without requiring manual data-wrangling interventions.</w:t>
      </w:r>
      <w:r w:rsidDel="00000000" w:rsidR="00000000" w:rsidRPr="00000000">
        <w:rPr>
          <w:rFonts w:ascii="Arial" w:cs="Arial" w:eastAsia="Arial" w:hAnsi="Arial"/>
          <w:color w:val="444746"/>
          <w:sz w:val="24"/>
          <w:szCs w:val="24"/>
          <w:vertAlign w:val="superscript"/>
          <w:rtl w:val="0"/>
        </w:rPr>
        <w:t xml:space="preserve">1</w:t>
      </w:r>
    </w:p>
    <w:p w:rsidR="00000000" w:rsidDel="00000000" w:rsidP="00000000" w:rsidRDefault="00000000" w:rsidRPr="00000000" w14:paraId="00000048">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6.2 Module Beta: The RFM Segmentation Core</w:t>
      </w:r>
    </w:p>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Module Beta represents the absolute analytical heart and strategic focal point of the entire behavioral intelligence platform. Formally designated as the RFM Segmentation Core, this advanced computational module measures highly complex customer value boundaries utilizing a trifecta of core metrics: Recency, Frequency, and Monetary valuation.</w:t>
      </w:r>
      <w:r w:rsidDel="00000000" w:rsidR="00000000" w:rsidRPr="00000000">
        <w:rPr>
          <w:rFonts w:ascii="Arial" w:cs="Arial" w:eastAsia="Arial" w:hAnsi="Arial"/>
          <w:color w:val="444746"/>
          <w:sz w:val="24"/>
          <w:szCs w:val="24"/>
          <w:vertAlign w:val="superscript"/>
          <w:rtl w:val="0"/>
        </w:rPr>
        <w:t xml:space="preserve">1</w:t>
      </w:r>
    </w:p>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RFM analysis is an empirically proven, highly rigorous marketing framework that systematically evaluates and scores customer behavior based entirely on three distinct quantitative dimensions:</w:t>
      </w:r>
    </w:p>
    <w:p w:rsidR="00000000" w:rsidDel="00000000" w:rsidP="00000000" w:rsidRDefault="00000000" w:rsidRPr="00000000" w14:paraId="0000004B">
      <w:pPr>
        <w:numPr>
          <w:ilvl w:val="0"/>
          <w:numId w:val="4"/>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Recency (R):</w:t>
      </w:r>
      <w:r w:rsidDel="00000000" w:rsidR="00000000" w:rsidRPr="00000000">
        <w:rPr>
          <w:rFonts w:ascii="Arial" w:cs="Arial" w:eastAsia="Arial" w:hAnsi="Arial"/>
          <w:color w:val="1f1f1f"/>
          <w:rtl w:val="0"/>
        </w:rPr>
        <w:t xml:space="preserve"> This dimension accurately measures the exact temporal distance elapsed since a specific customer's most recent checkout transaction. In highly programmatic terms, this calculation is executed by isolating the maximum InvoiceDate within the entire dataset, adding a baseline buffer of one day to establish a "current" timeline, and then mathematically subtracting the target customer's absolute latest timestamp. The resulting integer represents the days since last purchase. In behavioral economics, customers who have purchased recently possess an inherently "fresh" relationship with the brand and are statistically vastly more likely to open, engage with, and convert on new marketing materials or promotional emails.</w:t>
      </w:r>
    </w:p>
    <w:p w:rsidR="00000000" w:rsidDel="00000000" w:rsidP="00000000" w:rsidRDefault="00000000" w:rsidRPr="00000000" w14:paraId="0000004C">
      <w:pPr>
        <w:numPr>
          <w:ilvl w:val="0"/>
          <w:numId w:val="4"/>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Frequency (F):</w:t>
      </w:r>
      <w:r w:rsidDel="00000000" w:rsidR="00000000" w:rsidRPr="00000000">
        <w:rPr>
          <w:rFonts w:ascii="Arial" w:cs="Arial" w:eastAsia="Arial" w:hAnsi="Arial"/>
          <w:color w:val="1f1f1f"/>
          <w:rtl w:val="0"/>
        </w:rPr>
        <w:t xml:space="preserve"> This metric systematically quantifies the absolute total number of distinct, unique transactions (calculated via unique InvoiceNo counts grouped by CustomerID) a specific user has completed over the designated tracking period. High frequency is the strongest empirical indicator of absolute brand loyalty, profound habituation, and product-market fit.</w:t>
      </w:r>
      <w:r w:rsidDel="00000000" w:rsidR="00000000" w:rsidRPr="00000000">
        <w:rPr>
          <w:rFonts w:ascii="Arial" w:cs="Arial" w:eastAsia="Arial" w:hAnsi="Arial"/>
          <w:color w:val="444746"/>
          <w:sz w:val="24"/>
          <w:szCs w:val="24"/>
          <w:vertAlign w:val="superscript"/>
          <w:rtl w:val="0"/>
        </w:rPr>
        <w:t xml:space="preserve">1</w:t>
      </w:r>
    </w:p>
    <w:p w:rsidR="00000000" w:rsidDel="00000000" w:rsidP="00000000" w:rsidRDefault="00000000" w:rsidRPr="00000000" w14:paraId="0000004D">
      <w:pPr>
        <w:numPr>
          <w:ilvl w:val="0"/>
          <w:numId w:val="4"/>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Monetary (M):</w:t>
      </w:r>
      <w:r w:rsidDel="00000000" w:rsidR="00000000" w:rsidRPr="00000000">
        <w:rPr>
          <w:rFonts w:ascii="Arial" w:cs="Arial" w:eastAsia="Arial" w:hAnsi="Arial"/>
          <w:color w:val="1f1f1f"/>
          <w:rtl w:val="0"/>
        </w:rPr>
        <w:t xml:space="preserve"> This dimension aggregates the absolute total financial value a specific customer has contributed to the enterprise over their lifespan. It is computed by summing the dynamically calculated Sales variable (engineered during the preprocessing phase) associated with their distinct identifier.</w:t>
      </w:r>
      <w:r w:rsidDel="00000000" w:rsidR="00000000" w:rsidRPr="00000000">
        <w:rPr>
          <w:rFonts w:ascii="Arial" w:cs="Arial" w:eastAsia="Arial" w:hAnsi="Arial"/>
          <w:color w:val="444746"/>
          <w:sz w:val="24"/>
          <w:szCs w:val="24"/>
          <w:vertAlign w:val="superscript"/>
          <w:rtl w:val="0"/>
        </w:rPr>
        <w:t xml:space="preserve">2</w:t>
      </w:r>
      <w:r w:rsidDel="00000000" w:rsidR="00000000" w:rsidRPr="00000000">
        <w:rPr>
          <w:rFonts w:ascii="Arial" w:cs="Arial" w:eastAsia="Arial" w:hAnsi="Arial"/>
          <w:color w:val="1f1f1f"/>
          <w:rtl w:val="0"/>
        </w:rPr>
        <w:t xml:space="preserve"> This specific metric correlates seamlessly with the customer's overall lifetime value and represents their direct, measurable impact on the platform's overarching bottom line.</w:t>
      </w:r>
    </w:p>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By programmatically computing these exact RFM values for every single unique customer identified in the database, Module Beta generates a massive, multi-dimensional scoring matrix.</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 Typically utilizing quartile or quintile binning methodologies, users are assigned scores from 1 to 5 across all three metrics.</w:t>
      </w:r>
    </w:p>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These concatenated scores allow the system to group massive populations of customers into distinct, highly actionable value segments.</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 For instance, a customer scoring '5-5-5' is systematically flagged as a "Champion" or high-value "Loyalist," requiring VIP treatment. Conversely, a user scoring '1-5-5' was previously a frequent, high-spender but has not purchased recently; this user is flagged as "At-Risk" or "Hibernating," dictating that the system must immediately prescribe targeted, high-value retention and win-back strategies to prevent permanent structural churn.</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 The segmented RFM matrix data is persistently saved in a dedicated, isolated database table, acting as the primary querying source for the complex visual scatter diagrams generated by the frontend framework.</w:t>
      </w:r>
      <w:r w:rsidDel="00000000" w:rsidR="00000000" w:rsidRPr="00000000">
        <w:rPr>
          <w:rFonts w:ascii="Arial" w:cs="Arial" w:eastAsia="Arial" w:hAnsi="Arial"/>
          <w:color w:val="444746"/>
          <w:sz w:val="24"/>
          <w:szCs w:val="24"/>
          <w:vertAlign w:val="superscript"/>
          <w:rtl w:val="0"/>
        </w:rPr>
        <w:t xml:space="preserve">1</w:t>
      </w:r>
    </w:p>
    <w:p w:rsidR="00000000" w:rsidDel="00000000" w:rsidP="00000000" w:rsidRDefault="00000000" w:rsidRPr="00000000" w14:paraId="00000050">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6.3 Module Gamma: The Product Purchase Analytics Engine</w:t>
      </w:r>
    </w:p>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While the complex mathematics of Module Beta focus exclusively on the specific behavior of the consumer entity, Module Gamma shifts the analytical focus squarely onto the performance of the physical inventory. The Product Purchase Analytics Module aggressively tallies gross order totals across the entire breadth of the commercial catalog to trace, monitor, and highlight product performance trends.</w:t>
      </w:r>
      <w:r w:rsidDel="00000000" w:rsidR="00000000" w:rsidRPr="00000000">
        <w:rPr>
          <w:rFonts w:ascii="Arial" w:cs="Arial" w:eastAsia="Arial" w:hAnsi="Arial"/>
          <w:color w:val="444746"/>
          <w:sz w:val="24"/>
          <w:szCs w:val="24"/>
          <w:vertAlign w:val="superscript"/>
          <w:rtl w:val="0"/>
        </w:rPr>
        <w:t xml:space="preserve">1</w:t>
      </w:r>
    </w:p>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This specific programmatic module executes highly complex grouping queries against the SQLite transaction database to evaluate product-level sales data.</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 By aggregating performance data specifically at the Item Context level, Module Gamma identifies the absolute highest-selling products by raw unit volume, computes the definitive total revenue generated per individual product line, tracks aggregate purchase quantities over time, and maps these sales trends over chronological timelines to isolate localized demand spikes.</w:t>
      </w:r>
      <w:r w:rsidDel="00000000" w:rsidR="00000000" w:rsidRPr="00000000">
        <w:rPr>
          <w:rFonts w:ascii="Arial" w:cs="Arial" w:eastAsia="Arial" w:hAnsi="Arial"/>
          <w:color w:val="444746"/>
          <w:sz w:val="24"/>
          <w:szCs w:val="24"/>
          <w:vertAlign w:val="superscript"/>
          <w:rtl w:val="0"/>
        </w:rPr>
        <w:t xml:space="preserve">1</w:t>
      </w:r>
    </w:p>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The raw intelligence aggressively extracted by Module Gamma is absolutely critical for optimizing structural business operations. By mathematically identifying top-performing products, the enterprise can deeply optimize its upstream supply chain dynamics and warehouse inventory layouts, ensuring that highly demanded items are adequately stocked, placed near shipping vectors, and never fall into backorder status.[1, 1, 2] Furthermore, it allows financial and marketing teams to aggressively reallocate finite promotional spending specifically toward catalog items that possess proven, organic market traction, rather than wasting budget on stagnant inventory.</w:t>
      </w:r>
      <w:r w:rsidDel="00000000" w:rsidR="00000000" w:rsidRPr="00000000">
        <w:rPr>
          <w:rFonts w:ascii="Arial" w:cs="Arial" w:eastAsia="Arial" w:hAnsi="Arial"/>
          <w:color w:val="444746"/>
          <w:sz w:val="24"/>
          <w:szCs w:val="24"/>
          <w:vertAlign w:val="superscript"/>
          <w:rtl w:val="0"/>
        </w:rPr>
        <w:t xml:space="preserve">1</w:t>
      </w:r>
    </w:p>
    <w:p w:rsidR="00000000" w:rsidDel="00000000" w:rsidP="00000000" w:rsidRDefault="00000000" w:rsidRPr="00000000" w14:paraId="00000054">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6.4 Module Delta: The Regional Revenue Mapping Subsystem</w:t>
      </w:r>
    </w:p>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final core computational component within the platform's architecture is Module Delta, formally operating as the Regional Revenue Mapping Subsystem.</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 The modern e-commerce landscape is inherently borderless digitally, yet physical order logistics, localized marketing resonances, specific tax implications, and deep consumer purchasing behaviors are strictly constrained by physical geography.</w:t>
      </w:r>
    </w:p>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Module Delta systematically tracks and aggregates massive volumes of customer orders parsed by specific country to monitor geographic revenue growth, territorial saturation, and regional expansion opportunities.</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 By executing specific grouping operations on the localized Country variable—which was carefully isolated during Module Alpha's metric extraction phase—this subsystem mathematically calculates absolute total regional revenue, maps the precise geographic distribution of the active customer base, and identifies highly distinct monthly sales trends operating within specific international or domestic borders.</w:t>
      </w:r>
      <w:r w:rsidDel="00000000" w:rsidR="00000000" w:rsidRPr="00000000">
        <w:rPr>
          <w:rFonts w:ascii="Arial" w:cs="Arial" w:eastAsia="Arial" w:hAnsi="Arial"/>
          <w:color w:val="444746"/>
          <w:sz w:val="24"/>
          <w:szCs w:val="24"/>
          <w:vertAlign w:val="superscript"/>
          <w:rtl w:val="0"/>
        </w:rPr>
        <w:t xml:space="preserve">1</w:t>
      </w:r>
    </w:p>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This deep geographic intelligence vastly empowers the enterprise to fundamentally evaluate its market penetration parameters across vastly different territories.</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 For example, if a specific European region demonstrates extremely high gross revenue generation but the RFM module simultaneously indicates extremely low customer retention within that exact same region, localized promotional strategies or improved shipping logistics can be specifically deployed to rectify the discrepancy. Conversely, the mapping subsystem heavily highlights potential exponential growth opportunities in completely underpenetrated demographics that share similar profiles to highly successful regions.</w:t>
      </w:r>
      <w:r w:rsidDel="00000000" w:rsidR="00000000" w:rsidRPr="00000000">
        <w:rPr>
          <w:rFonts w:ascii="Arial" w:cs="Arial" w:eastAsia="Arial" w:hAnsi="Arial"/>
          <w:color w:val="444746"/>
          <w:sz w:val="24"/>
          <w:szCs w:val="24"/>
          <w:vertAlign w:val="superscript"/>
          <w:rtl w:val="0"/>
        </w:rPr>
        <w:t xml:space="preserve">1</w:t>
      </w:r>
    </w:p>
    <w:p w:rsidR="00000000" w:rsidDel="00000000" w:rsidP="00000000" w:rsidRDefault="00000000" w:rsidRPr="00000000" w14:paraId="00000058">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7. User Interface and Analytical Dashboards</w:t>
      </w:r>
    </w:p>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The immensely complex programmatic logic, database engineering, and algorithmic models executed by Modules Alpha through Delta ultimately culminate in the presentation layer of the application. The project successfully utilizes a live, highly reactive Dashboard Engine built entirely upon the Streamlit Python web framework, designed specifically to serve as a fully automated, user-friendly consumer analytics interface for executive stakeholders.</w:t>
      </w:r>
      <w:r w:rsidDel="00000000" w:rsidR="00000000" w:rsidRPr="00000000">
        <w:rPr>
          <w:rFonts w:ascii="Arial" w:cs="Arial" w:eastAsia="Arial" w:hAnsi="Arial"/>
          <w:color w:val="444746"/>
          <w:sz w:val="24"/>
          <w:szCs w:val="24"/>
          <w:vertAlign w:val="superscript"/>
          <w:rtl w:val="0"/>
        </w:rPr>
        <w:t xml:space="preserve">1</w:t>
      </w:r>
    </w:p>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The integration of Streamlit facilitates the extraordinarily rapid deployment of interactive, real-time business insights without requiring complex frontend JavaScript frameworks.</w:t>
      </w:r>
      <w:r w:rsidDel="00000000" w:rsidR="00000000" w:rsidRPr="00000000">
        <w:rPr>
          <w:rFonts w:ascii="Arial" w:cs="Arial" w:eastAsia="Arial" w:hAnsi="Arial"/>
          <w:color w:val="444746"/>
          <w:sz w:val="24"/>
          <w:szCs w:val="24"/>
          <w:vertAlign w:val="superscript"/>
          <w:rtl w:val="0"/>
        </w:rPr>
        <w:t xml:space="preserve">2</w:t>
      </w:r>
      <w:r w:rsidDel="00000000" w:rsidR="00000000" w:rsidRPr="00000000">
        <w:rPr>
          <w:rFonts w:ascii="Arial" w:cs="Arial" w:eastAsia="Arial" w:hAnsi="Arial"/>
          <w:color w:val="1f1f1f"/>
          <w:rtl w:val="0"/>
        </w:rPr>
        <w:t xml:space="preserve"> The application features a highly secure administrator authentication and login mechanism, rigorously ensuring that highly sensitive transactional data, personally identifiable information, and strategic KPI metrics are strictly restricted to authorized enterprise personnel only.</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 Once a user is successfully authenticated, the administrator is presented with a modular, highly aesthetic interface that dynamically calculates and renders critical KPIs within milliseconds upon a successful load event.</w:t>
      </w:r>
      <w:r w:rsidDel="00000000" w:rsidR="00000000" w:rsidRPr="00000000">
        <w:rPr>
          <w:rFonts w:ascii="Arial" w:cs="Arial" w:eastAsia="Arial" w:hAnsi="Arial"/>
          <w:color w:val="444746"/>
          <w:sz w:val="24"/>
          <w:szCs w:val="24"/>
          <w:vertAlign w:val="superscript"/>
          <w:rtl w:val="0"/>
        </w:rPr>
        <w:t xml:space="preserve">1</w:t>
      </w:r>
    </w:p>
    <w:p w:rsidR="00000000" w:rsidDel="00000000" w:rsidP="00000000" w:rsidRDefault="00000000" w:rsidRPr="00000000" w14:paraId="0000005B">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7.1 Intuitive Navigation and UI Architecture</w:t>
      </w:r>
    </w:p>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To maintain a meticulously clean and highly organized user experience, the dashboard heavily employs the sophisticated multipage navigation architecture natively supported by Streamlit.</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 By utilizing the structural pages/ directory protocol, the platform allows the administrator to seamlessly transition between the vastly different analytical modules—moving from the Alpha preprocessing logs to the Beta segmentation matrices, the Gamma catalog analysis, and the Delta geographic maps.</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 This rigorous structural separation ensures that massive, complex data visualizations do not overlap, prevents the UI from becoming chaotic, and strictly ensures that deep computational resources are only utilized for the specific active module currently being viewed by the user.</w:t>
      </w:r>
    </w:p>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Furthermore, the interactive dashboard ingeniously integrates a dedicated, user-facing system feature explicitly permitting administrators to manually trigger a complete rebuild of the localized SQLite database directly from the UI whenever net-new raw transaction data files are securely uploaded to the system.</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 This ensures absolute continuous operational relevance and real-time accuracy without ever requiring the stakeholder to utilize command-line interfaces or touch the underlying Python scripts.</w:t>
      </w:r>
    </w:p>
    <w:p w:rsidR="00000000" w:rsidDel="00000000" w:rsidP="00000000" w:rsidRDefault="00000000" w:rsidRPr="00000000" w14:paraId="0000005E">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7.2 Core Actionable Dashboard Visualizations</w:t>
      </w:r>
    </w:p>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presentation interface actively translates raw, highly unreadable numerical matrices and database tables into immediate, actionable visual intelligence through three primary, highly interactive visualization views </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60">
      <w:pPr>
        <w:numPr>
          <w:ilvl w:val="0"/>
          <w:numId w:val="5"/>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Visualization View 1: The Customer Segment Scatter Diagram:</w:t>
      </w:r>
      <w:r w:rsidDel="00000000" w:rsidR="00000000" w:rsidRPr="00000000">
        <w:rPr>
          <w:rFonts w:ascii="Arial" w:cs="Arial" w:eastAsia="Arial" w:hAnsi="Arial"/>
          <w:color w:val="1f1f1f"/>
          <w:rtl w:val="0"/>
        </w:rPr>
        <w:t xml:space="preserve"> Plotting complex, multi-dimensional RFM matrix data in a standard tabular format is highly counterproductive for rapid executive decision-making. Therefore, the dashboard utilizes a highly advanced, interactive visual scatter diagram that specifically plots entire customer groups based on their complex, historical spending profiles and corresponding RFM scores.</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 This interactive chart allows stakeholders to visually identify and hover over massive clusters of high-value "Champions" versus densely populated at-risk demographic zones, providing immediate, striking context regarding the fundamental economic health of the entire customer base.</w:t>
      </w:r>
      <w:r w:rsidDel="00000000" w:rsidR="00000000" w:rsidRPr="00000000">
        <w:rPr>
          <w:rFonts w:ascii="Arial" w:cs="Arial" w:eastAsia="Arial" w:hAnsi="Arial"/>
          <w:color w:val="444746"/>
          <w:sz w:val="24"/>
          <w:szCs w:val="24"/>
          <w:vertAlign w:val="superscript"/>
          <w:rtl w:val="0"/>
        </w:rPr>
        <w:t xml:space="preserve">1</w:t>
      </w:r>
    </w:p>
    <w:p w:rsidR="00000000" w:rsidDel="00000000" w:rsidP="00000000" w:rsidRDefault="00000000" w:rsidRPr="00000000" w14:paraId="00000061">
      <w:pPr>
        <w:numPr>
          <w:ilvl w:val="0"/>
          <w:numId w:val="5"/>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Visualization View 2: The Purchase Ingestion Timeline:</w:t>
      </w:r>
      <w:r w:rsidDel="00000000" w:rsidR="00000000" w:rsidRPr="00000000">
        <w:rPr>
          <w:rFonts w:ascii="Arial" w:cs="Arial" w:eastAsia="Arial" w:hAnsi="Arial"/>
          <w:color w:val="1f1f1f"/>
          <w:rtl w:val="0"/>
        </w:rPr>
        <w:t xml:space="preserve"> Advanced time-series analysis is absolutely critical for understanding cyclical market behavior and predicting future performance. The Purchase Ingestion Timeline operates as a dynamic, deeply interactive timeline component that tracks massive shopping volume patterns over changing seasons, holidays, and localized chronological periods.</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 This temporal visualization allows the business to mathematically anticipate massive demand spikes, monitor precise seasonal variations in baseline revenue, and strictly align inventory procurement schedules with historically verified ingestion patterns.</w:t>
      </w:r>
      <w:r w:rsidDel="00000000" w:rsidR="00000000" w:rsidRPr="00000000">
        <w:rPr>
          <w:rFonts w:ascii="Arial" w:cs="Arial" w:eastAsia="Arial" w:hAnsi="Arial"/>
          <w:color w:val="444746"/>
          <w:sz w:val="24"/>
          <w:szCs w:val="24"/>
          <w:vertAlign w:val="superscript"/>
          <w:rtl w:val="0"/>
        </w:rPr>
        <w:t xml:space="preserve">1</w:t>
      </w:r>
    </w:p>
    <w:p w:rsidR="00000000" w:rsidDel="00000000" w:rsidP="00000000" w:rsidRDefault="00000000" w:rsidRPr="00000000" w14:paraId="00000062">
      <w:pPr>
        <w:numPr>
          <w:ilvl w:val="0"/>
          <w:numId w:val="5"/>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Visualization View 3: The Catalog Revenue Matrix:</w:t>
      </w:r>
      <w:r w:rsidDel="00000000" w:rsidR="00000000" w:rsidRPr="00000000">
        <w:rPr>
          <w:rFonts w:ascii="Arial" w:cs="Arial" w:eastAsia="Arial" w:hAnsi="Arial"/>
          <w:color w:val="1f1f1f"/>
          <w:rtl w:val="0"/>
        </w:rPr>
        <w:t xml:space="preserve"> To perfectly synthesize and display the complex outputs generated by Module Gamma, the dashboard features a rigidly sorted, interactive tabular matrix displaying the entire, comprehensive inventory catalog, strictly ranked in descending order by their absolute total contribution margins and unit velocity.</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 This specific visualization instantly and mathematically highlights the precise Pareto distribution active within the product line, dictating unequivocally which specific items are driving the vast majority of platform revenue, thereby streamlining critical merchandising decisions.</w:t>
      </w:r>
      <w:r w:rsidDel="00000000" w:rsidR="00000000" w:rsidRPr="00000000">
        <w:rPr>
          <w:rFonts w:ascii="Arial" w:cs="Arial" w:eastAsia="Arial" w:hAnsi="Arial"/>
          <w:color w:val="444746"/>
          <w:sz w:val="24"/>
          <w:szCs w:val="24"/>
          <w:vertAlign w:val="superscript"/>
          <w:rtl w:val="0"/>
        </w:rPr>
        <w:t xml:space="preserve">1</w:t>
      </w:r>
    </w:p>
    <w:p w:rsidR="00000000" w:rsidDel="00000000" w:rsidP="00000000" w:rsidRDefault="00000000" w:rsidRPr="00000000" w14:paraId="00000063">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8. Business Value Realization and Actionable Intelligence</w:t>
      </w:r>
    </w:p>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The successful architectural deployment and continuous utilization of the E-Commerce Customer Behavior Analysis platform yields highly tangible, immediately measurable strategic business outcomes. By effectively transitioning an enterprise from executing basic, descriptive transaction logging to utilizing highly advanced, prescriptive behavioral tracking, the system fundamentally improves total e-commerce marketing alignment, dramatically increases operational efficiency, and significantly reduces wasted capital expenditure.</w:t>
      </w:r>
      <w:r w:rsidDel="00000000" w:rsidR="00000000" w:rsidRPr="00000000">
        <w:rPr>
          <w:rFonts w:ascii="Arial" w:cs="Arial" w:eastAsia="Arial" w:hAnsi="Arial"/>
          <w:color w:val="444746"/>
          <w:sz w:val="24"/>
          <w:szCs w:val="24"/>
          <w:vertAlign w:val="superscript"/>
          <w:rtl w:val="0"/>
        </w:rPr>
        <w:t xml:space="preserve">1</w:t>
      </w:r>
    </w:p>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deep intelligence dynamically generated by the interactive dashboard continuously enables executive teams to precisely optimize their promotional spending allocations.</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 Rather than executing highly inefficient, universal marketing blasts that spam the entire user database, marketing resources and discount codes can now be allocated specifically and exclusively to the precise customer value segments identified by the RFM Core (Module Beta).[1, 1] High-frequency, high-monetary buyers can be targeted exclusively with prestige loyalty programs and early-access catalogs, while high-recency, low-frequency buyers can be surgically targeted with introductory upsell campaigns designed to increase their basket size.</w:t>
      </w:r>
    </w:p>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Most importantly, the deployed platform successfully addresses the pervasive industry challenge of building highly personalized, automated retention loops.</w:t>
      </w:r>
      <w:r w:rsidDel="00000000" w:rsidR="00000000" w:rsidRPr="00000000">
        <w:rPr>
          <w:rFonts w:ascii="Arial" w:cs="Arial" w:eastAsia="Arial" w:hAnsi="Arial"/>
          <w:color w:val="444746"/>
          <w:sz w:val="24"/>
          <w:szCs w:val="24"/>
          <w:vertAlign w:val="superscript"/>
          <w:rtl w:val="0"/>
        </w:rPr>
        <w:t xml:space="preserve">2</w:t>
      </w:r>
      <w:r w:rsidDel="00000000" w:rsidR="00000000" w:rsidRPr="00000000">
        <w:rPr>
          <w:rFonts w:ascii="Arial" w:cs="Arial" w:eastAsia="Arial" w:hAnsi="Arial"/>
          <w:color w:val="1f1f1f"/>
          <w:rtl w:val="0"/>
        </w:rPr>
        <w:t xml:space="preserve"> By accurately categorizing complex customer value segments and relentlessly monitoring historical transaction histories for signs of behavioral fatigue, businesses can confidently execute highly efficient, hyper data-driven campaigns designed specifically to intercept users before they defect.</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 This capability directly lowers catastrophic customer churn rates and heavily maximizes long-term Customer Lifetime Value metrics.</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 The successful deployment of this project definitively confirms the immense, undeniable economic value of deep data-driven market segmentation; transforming static, archaic invoice logs into highly clear, actionable buyer behavioral insights is the single definitive computational mechanism for improving user retention in the fiercely competitive modern online retail landscape.</w:t>
      </w:r>
      <w:r w:rsidDel="00000000" w:rsidR="00000000" w:rsidRPr="00000000">
        <w:rPr>
          <w:rFonts w:ascii="Arial" w:cs="Arial" w:eastAsia="Arial" w:hAnsi="Arial"/>
          <w:color w:val="444746"/>
          <w:sz w:val="24"/>
          <w:szCs w:val="24"/>
          <w:vertAlign w:val="superscript"/>
          <w:rtl w:val="0"/>
        </w:rPr>
        <w:t xml:space="preserve">1</w:t>
      </w:r>
    </w:p>
    <w:p w:rsidR="00000000" w:rsidDel="00000000" w:rsidP="00000000" w:rsidRDefault="00000000" w:rsidRPr="00000000" w14:paraId="00000067">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9. Project Administration and Governance</w:t>
      </w:r>
    </w:p>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The conceptualization, rigorous programmatic development</w:t>
      </w:r>
      <w:hyperlink r:id="rId6">
        <w:r w:rsidDel="00000000" w:rsidR="00000000" w:rsidRPr="00000000">
          <w:rPr>
            <w:rFonts w:ascii="Arial" w:cs="Arial" w:eastAsia="Arial" w:hAnsi="Arial"/>
            <w:color w:val="1155cc"/>
            <w:u w:val="single"/>
            <w:rtl w:val="0"/>
          </w:rPr>
          <w:t xml:space="preserve">https://github.com/Jacinth-T/e-commerce-customer-analysis</w:t>
        </w:r>
      </w:hyperlink>
      <w:r w:rsidDel="00000000" w:rsidR="00000000" w:rsidRPr="00000000">
        <w:rPr>
          <w:rFonts w:ascii="Arial" w:cs="Arial" w:eastAsia="Arial" w:hAnsi="Arial"/>
          <w:color w:val="1f1f1f"/>
          <w:rtl w:val="0"/>
        </w:rPr>
        <w:t xml:space="preserve">, and final functional deployment of the "E-Commerce Customer Behavior Analysis" application and its associated GitHub repositories (https://github.com/Jacinth-T/e-commerce-customer-analysis) were managed under a highly collaborative development framework.</w:t>
      </w:r>
      <w:r w:rsidDel="00000000" w:rsidR="00000000" w:rsidRPr="00000000">
        <w:rPr>
          <w:rFonts w:ascii="Arial" w:cs="Arial" w:eastAsia="Arial" w:hAnsi="Arial"/>
          <w:color w:val="444746"/>
          <w:sz w:val="24"/>
          <w:szCs w:val="24"/>
          <w:vertAlign w:val="superscript"/>
          <w:rtl w:val="0"/>
        </w:rPr>
        <w:t xml:space="preserve">1</w:t>
      </w:r>
    </w:p>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exhaustive engineering effort was executed collectively by </w:t>
      </w:r>
      <w:r w:rsidDel="00000000" w:rsidR="00000000" w:rsidRPr="00000000">
        <w:rPr>
          <w:rFonts w:ascii="Arial" w:cs="Arial" w:eastAsia="Arial" w:hAnsi="Arial"/>
          <w:b w:val="1"/>
          <w:bCs w:val="1"/>
          <w:color w:val="1f1f1f"/>
          <w:rtl w:val="0"/>
        </w:rPr>
        <w:t xml:space="preserve">Team Spartans</w:t>
      </w:r>
      <w:r w:rsidDel="00000000" w:rsidR="00000000" w:rsidRPr="00000000">
        <w:rPr>
          <w:rFonts w:ascii="Arial" w:cs="Arial" w:eastAsia="Arial" w:hAnsi="Arial"/>
          <w:color w:val="1f1f1f"/>
          <w:rtl w:val="0"/>
        </w:rPr>
        <w:t xml:space="preserve">, a cohort comprising the following core project contributors:</w:t>
      </w:r>
    </w:p>
    <w:p w:rsidR="00000000" w:rsidDel="00000000" w:rsidP="00000000" w:rsidRDefault="00000000" w:rsidRPr="00000000" w14:paraId="0000006A">
      <w:pPr>
        <w:numPr>
          <w:ilvl w:val="0"/>
          <w:numId w:val="6"/>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Prathiba Rachel Rapaka</w:t>
      </w:r>
    </w:p>
    <w:p w:rsidR="00000000" w:rsidDel="00000000" w:rsidP="00000000" w:rsidRDefault="00000000" w:rsidRPr="00000000" w14:paraId="0000006B">
      <w:pPr>
        <w:numPr>
          <w:ilvl w:val="0"/>
          <w:numId w:val="6"/>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Terapalli Jacinth</w:t>
      </w:r>
    </w:p>
    <w:p w:rsidR="00000000" w:rsidDel="00000000" w:rsidP="00000000" w:rsidRDefault="00000000" w:rsidRPr="00000000" w14:paraId="0000006C">
      <w:pPr>
        <w:numPr>
          <w:ilvl w:val="0"/>
          <w:numId w:val="6"/>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Chinta Sam Prasad</w:t>
      </w:r>
    </w:p>
    <w:p w:rsidR="00000000" w:rsidDel="00000000" w:rsidP="00000000" w:rsidRDefault="00000000" w:rsidRPr="00000000" w14:paraId="0000006D">
      <w:pPr>
        <w:numPr>
          <w:ilvl w:val="0"/>
          <w:numId w:val="6"/>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Boggavarapu Sri Vishnuvardhan</w:t>
      </w:r>
    </w:p>
    <w:p w:rsidR="00000000" w:rsidDel="00000000" w:rsidP="00000000" w:rsidRDefault="00000000" w:rsidRPr="00000000" w14:paraId="0000006E">
      <w:pPr>
        <w:numPr>
          <w:ilvl w:val="0"/>
          <w:numId w:val="6"/>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Penumatsa Spandana</w:t>
      </w:r>
    </w:p>
    <w:p w:rsidR="00000000" w:rsidDel="00000000" w:rsidP="00000000" w:rsidRDefault="00000000" w:rsidRPr="00000000" w14:paraId="0000006F">
      <w:pPr>
        <w:numPr>
          <w:ilvl w:val="0"/>
          <w:numId w:val="6"/>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Radhakrishna Manthi</w:t>
      </w:r>
    </w:p>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after="255" w:line="275.9999942779541" w:lineRule="auto"/>
        <w:rPr>
          <w:rFonts w:ascii="Arial" w:cs="Arial" w:eastAsia="Arial" w:hAnsi="Arial"/>
          <w:color w:val="0000ee"/>
          <w:sz w:val="24"/>
          <w:szCs w:val="24"/>
          <w:u w:val="single"/>
        </w:rPr>
      </w:pPr>
      <w:r w:rsidDel="00000000" w:rsidR="00000000" w:rsidRPr="00000000">
        <w:rPr>
          <w:rFonts w:ascii="Arial" w:cs="Arial" w:eastAsia="Arial" w:hAnsi="Arial"/>
          <w:color w:val="1f1f1f"/>
          <w:rtl w:val="0"/>
        </w:rPr>
        <w:t xml:space="preserve">Furthermore, the entire robust technical infrastructure, the chosen programmatic methodologies, and the project's absolute alignment with real-world, enterprise-level business objectives were continuously executed under the direct, highly experienced guidance and oversight of the Project Mentor, </w:t>
      </w:r>
      <w:r w:rsidDel="00000000" w:rsidR="00000000" w:rsidRPr="00000000">
        <w:rPr>
          <w:rFonts w:ascii="Arial" w:cs="Arial" w:eastAsia="Arial" w:hAnsi="Arial"/>
          <w:b w:val="1"/>
          <w:bCs w:val="1"/>
          <w:color w:val="1f1f1f"/>
          <w:rtl w:val="0"/>
        </w:rPr>
        <w:t xml:space="preserve">M Satish Kumar</w:t>
      </w:r>
      <w:r w:rsidDel="00000000" w:rsidR="00000000" w:rsidRPr="00000000">
        <w:rPr>
          <w:rFonts w:ascii="Arial" w:cs="Arial" w:eastAsia="Arial" w:hAnsi="Arial"/>
          <w:color w:val="1f1f1f"/>
          <w:rtl w:val="0"/>
        </w:rPr>
        <w:t xml:space="preserve">.</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 His strict architectural oversight categorically ensured that the underlying system architecture remained highly scalable, the complex dataset processing remained mathematically rigorous and fundamentally sound, and the final Streamlit deployment successfully fulfilled all parameters established in the initial problem statement. The resulting application stands as a highly advanced, deeply integrated behavioral intelligence platform capable of transforming raw operational data into unparalleled strategic retail insights.</w:t>
      </w: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github.com/Jacinth-T/e-commerce-customer-analysi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