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C929A">
      <w:pPr>
        <w:pStyle w:val="3"/>
      </w:pPr>
      <w:r>
        <w:t>TagIt — Simplified CSCW-Informed User Testing Plan</w:t>
      </w:r>
    </w:p>
    <w:p w14:paraId="3DF0BC4C">
      <w:pPr>
        <w:pStyle w:val="4"/>
      </w:pPr>
      <w:r>
        <w:t>1. Purpose</w:t>
      </w:r>
    </w:p>
    <w:p w14:paraId="3BDDA52F">
      <w:r>
        <w:t>This user testing plan aims to evaluate how the TagIt collaborative digital graffiti platform supports multi-user creation through the lens of Computer-Supported Cooperative Work (CSCW). Specifically, the study focuses on:</w:t>
      </w:r>
      <w:r>
        <w:br w:type="textWrapping"/>
      </w:r>
      <w:r>
        <w:rPr>
          <w:rFonts w:hint="eastAsia" w:eastAsia="宋体"/>
          <w:lang w:val="en-US" w:eastAsia="zh-CN"/>
        </w:rPr>
        <w:t>·</w:t>
      </w:r>
      <w:r>
        <w:t>How effectively users can coordinate and work together on a shared canvas.</w:t>
      </w:r>
      <w:r>
        <w:br w:type="textWrapping"/>
      </w:r>
      <w:r>
        <w:rPr>
          <w:rFonts w:hint="eastAsia" w:eastAsia="宋体"/>
          <w:lang w:val="en-US" w:eastAsia="zh-CN"/>
        </w:rPr>
        <w:t>·</w:t>
      </w:r>
      <w:r>
        <w:t>Whether the system fosters awareness of others’ activities during both synchronous and asynchronous collaboration.</w:t>
      </w:r>
      <w:r>
        <w:br w:type="textWrapping"/>
      </w:r>
      <w:r>
        <w:rPr>
          <w:rFonts w:hint="eastAsia" w:eastAsia="宋体"/>
          <w:lang w:val="en-US" w:eastAsia="zh-CN"/>
        </w:rPr>
        <w:t>·</w:t>
      </w:r>
      <w:r>
        <w:t>How the interface influences users’ sense of co-presence, shared ownership, and creative motivation.</w:t>
      </w:r>
      <w:r>
        <w:br w:type="textWrapping"/>
      </w:r>
      <w:r>
        <w:t>These objectives align with CSCW’s central concerns of communication, coordination, and collaboration awareness.</w:t>
      </w:r>
    </w:p>
    <w:p w14:paraId="151DA4E5">
      <w:pPr>
        <w:pStyle w:val="4"/>
      </w:pPr>
      <w:r>
        <w:t>2. Research Questions</w:t>
      </w:r>
    </w:p>
    <w:p w14:paraId="0AAA2E7B">
      <w:r>
        <w:t>1. Can users easily understand and continue other people’s artwork on the shared canvas?</w:t>
      </w:r>
      <w:r>
        <w:br w:type="textWrapping"/>
      </w:r>
      <w:r>
        <w:t>2. Does the system design help prevent confusion or conflict during co-creation?</w:t>
      </w:r>
      <w:r>
        <w:br w:type="textWrapping"/>
      </w:r>
      <w:r>
        <w:t>3. Do users feel a sense of co-presence and connection when creating with others?</w:t>
      </w:r>
      <w:r>
        <w:br w:type="textWrapping"/>
      </w:r>
      <w:r>
        <w:t>4. Do collaborative features (e.g., visible strokes, contributor indicators) improve workflow and overall experience?</w:t>
      </w:r>
    </w:p>
    <w:p w14:paraId="1DDAE726">
      <w:pPr>
        <w:pStyle w:val="4"/>
      </w:pPr>
      <w:r>
        <w:t>3. Participants</w:t>
      </w:r>
    </w:p>
    <w:p w14:paraId="250D6229">
      <w:r>
        <w:rPr>
          <w:rFonts w:hint="eastAsia" w:eastAsia="宋体"/>
          <w:lang w:val="en-US" w:eastAsia="zh-CN"/>
        </w:rPr>
        <w:t>·8 - 10</w:t>
      </w:r>
      <w:r>
        <w:t xml:space="preserve"> participants, divided into 4–5 groups of </w:t>
      </w:r>
      <w:r>
        <w:rPr>
          <w:rFonts w:hint="eastAsia" w:eastAsia="宋体"/>
          <w:lang w:val="en-US" w:eastAsia="zh-CN"/>
        </w:rPr>
        <w:t>2</w:t>
      </w:r>
      <w:r>
        <w:t xml:space="preserve"> people each.</w:t>
      </w:r>
      <w:r>
        <w:br w:type="textWrapping"/>
      </w:r>
      <w:r>
        <w:rPr>
          <w:rFonts w:hint="eastAsia" w:eastAsia="宋体"/>
          <w:lang w:val="en-US" w:eastAsia="zh-CN"/>
        </w:rPr>
        <w:t>·</w:t>
      </w:r>
      <w:r>
        <w:t>Group members may be friends or semi-strangers, with at least basic digital drawing experience.</w:t>
      </w:r>
      <w:r>
        <w:br w:type="textWrapping"/>
      </w:r>
      <w:r>
        <w:rPr>
          <w:rFonts w:hint="eastAsia" w:eastAsia="宋体"/>
          <w:lang w:val="en-US" w:eastAsia="zh-CN"/>
        </w:rPr>
        <w:t>·</w:t>
      </w:r>
      <w:r>
        <w:t>Each group will use the same prototype—either on a shared screen or across multiple devices connected in real time.</w:t>
      </w:r>
    </w:p>
    <w:p w14:paraId="19481A42">
      <w:pPr>
        <w:pStyle w:val="4"/>
      </w:pPr>
      <w:r>
        <w:t>4. Tasks</w:t>
      </w:r>
    </w:p>
    <w:tbl>
      <w:tblPr>
        <w:tblStyle w:val="32"/>
        <w:tblW w:w="0" w:type="auto"/>
        <w:tblInd w:w="0" w:type="dxa"/>
        <w:tblLayout w:type="autofit"/>
        <w:tblCellMar>
          <w:top w:w="0" w:type="dxa"/>
          <w:left w:w="108" w:type="dxa"/>
          <w:bottom w:w="0" w:type="dxa"/>
          <w:right w:w="108" w:type="dxa"/>
        </w:tblCellMar>
      </w:tblPr>
      <w:tblGrid>
        <w:gridCol w:w="2880"/>
        <w:gridCol w:w="2880"/>
        <w:gridCol w:w="2880"/>
      </w:tblGrid>
      <w:tr w14:paraId="53BDF094">
        <w:tc>
          <w:tcPr>
            <w:tcW w:w="2880" w:type="dxa"/>
          </w:tcPr>
          <w:p w14:paraId="65C47B8D">
            <w:r>
              <w:t>Task</w:t>
            </w:r>
          </w:p>
        </w:tc>
        <w:tc>
          <w:tcPr>
            <w:tcW w:w="2880" w:type="dxa"/>
          </w:tcPr>
          <w:p w14:paraId="2AC41946">
            <w:r>
              <w:t>Description</w:t>
            </w:r>
          </w:p>
        </w:tc>
        <w:tc>
          <w:tcPr>
            <w:tcW w:w="2880" w:type="dxa"/>
          </w:tcPr>
          <w:p w14:paraId="02A11398">
            <w:r>
              <w:t>CSCW Focus</w:t>
            </w:r>
          </w:p>
        </w:tc>
      </w:tr>
      <w:tr w14:paraId="2990F613">
        <w:tc>
          <w:tcPr>
            <w:tcW w:w="2880" w:type="dxa"/>
          </w:tcPr>
          <w:p w14:paraId="58352E02">
            <w:r>
              <w:t>T1 – Collaborative Drawing</w:t>
            </w:r>
          </w:p>
        </w:tc>
        <w:tc>
          <w:tcPr>
            <w:tcW w:w="2880" w:type="dxa"/>
          </w:tcPr>
          <w:p w14:paraId="645B2828">
            <w:r>
              <w:t>T</w:t>
            </w:r>
            <w:r>
              <w:rPr>
                <w:rFonts w:hint="eastAsia" w:eastAsia="宋体"/>
                <w:lang w:val="en-US" w:eastAsia="zh-CN"/>
              </w:rPr>
              <w:t>wo</w:t>
            </w:r>
            <w:r>
              <w:t xml:space="preserve"> participants co-create a themed graffiti wall (e.g., “City and Nature”) within 10 minutes.</w:t>
            </w:r>
          </w:p>
        </w:tc>
        <w:tc>
          <w:tcPr>
            <w:tcW w:w="2880" w:type="dxa"/>
          </w:tcPr>
          <w:p w14:paraId="551029F6">
            <w:r>
              <w:t>Coordination &amp; communication efficiency</w:t>
            </w:r>
          </w:p>
        </w:tc>
      </w:tr>
      <w:tr w14:paraId="1CBF59C2">
        <w:tc>
          <w:tcPr>
            <w:tcW w:w="2880" w:type="dxa"/>
          </w:tcPr>
          <w:p w14:paraId="312ACAC8">
            <w:r>
              <w:t>T2 – Continue Others’ Work</w:t>
            </w:r>
          </w:p>
        </w:tc>
        <w:tc>
          <w:tcPr>
            <w:tcW w:w="2880" w:type="dxa"/>
          </w:tcPr>
          <w:p w14:paraId="48830FF5">
            <w:r>
              <w:t>Each participant selects an existing artwork and adds new elements or modifies it.</w:t>
            </w:r>
          </w:p>
        </w:tc>
        <w:tc>
          <w:tcPr>
            <w:tcW w:w="2880" w:type="dxa"/>
          </w:tcPr>
          <w:p w14:paraId="1D4A1A69">
            <w:r>
              <w:t>Articulation work &amp; asynchronous awareness</w:t>
            </w:r>
          </w:p>
        </w:tc>
      </w:tr>
      <w:tr w14:paraId="0C6ADBD4">
        <w:tc>
          <w:tcPr>
            <w:tcW w:w="2880" w:type="dxa"/>
          </w:tcPr>
          <w:p w14:paraId="789443BA">
            <w:r>
              <w:t>T3 – Review and Discussion</w:t>
            </w:r>
          </w:p>
        </w:tc>
        <w:tc>
          <w:tcPr>
            <w:tcW w:w="2880" w:type="dxa"/>
          </w:tcPr>
          <w:p w14:paraId="73D109B8">
            <w:r>
              <w:t>The group views the replay or layer history and discusses who contributed what and how easy it was to recognize others’ work.</w:t>
            </w:r>
          </w:p>
        </w:tc>
        <w:tc>
          <w:tcPr>
            <w:tcW w:w="2880" w:type="dxa"/>
          </w:tcPr>
          <w:p w14:paraId="3520FAC5">
            <w:r>
              <w:t>Awareness, ownership &amp; reflection</w:t>
            </w:r>
          </w:p>
        </w:tc>
      </w:tr>
    </w:tbl>
    <w:p w14:paraId="4A1F0508">
      <w:pPr>
        <w:pStyle w:val="4"/>
      </w:pPr>
      <w:r>
        <w:t>5. Data Collection</w:t>
      </w:r>
    </w:p>
    <w:p w14:paraId="5F10B18C">
      <w:r>
        <w:t>Quantitative Data:</w:t>
      </w:r>
    </w:p>
    <w:p w14:paraId="1800AF1F">
      <w:pPr>
        <w:pStyle w:val="16"/>
        <w:numPr>
          <w:ilvl w:val="0"/>
          <w:numId w:val="0"/>
        </w:numPr>
        <w:ind w:leftChars="0"/>
      </w:pPr>
      <w:r>
        <w:rPr>
          <w:rFonts w:hint="eastAsia" w:eastAsia="宋体"/>
          <w:lang w:val="en-US" w:eastAsia="zh-CN"/>
        </w:rPr>
        <w:t>·</w:t>
      </w:r>
      <w:r>
        <w:t>Number of strokes, undo/redo actions, and overlapping edits.</w:t>
      </w:r>
      <w:r>
        <w:br w:type="textWrapping"/>
      </w:r>
      <w:r>
        <w:rPr>
          <w:rFonts w:hint="eastAsia" w:eastAsia="宋体"/>
          <w:lang w:val="en-US" w:eastAsia="zh-CN"/>
        </w:rPr>
        <w:t>·</w:t>
      </w:r>
      <w:r>
        <w:t>Average contribution area per participant.</w:t>
      </w:r>
      <w:r>
        <w:br w:type="textWrapping"/>
      </w:r>
      <w:r>
        <w:rPr>
          <w:rFonts w:hint="eastAsia" w:eastAsia="宋体"/>
          <w:lang w:val="en-US" w:eastAsia="zh-CN"/>
        </w:rPr>
        <w:t>·</w:t>
      </w:r>
      <w:r>
        <w:t>Time taken to start drawing after entering the canvas.</w:t>
      </w:r>
      <w:r>
        <w:br w:type="textWrapping"/>
      </w:r>
      <w:r>
        <w:rPr>
          <w:rFonts w:hint="eastAsia" w:eastAsia="宋体"/>
          <w:lang w:val="en-US" w:eastAsia="zh-CN"/>
        </w:rPr>
        <w:t>·</w:t>
      </w:r>
      <w:r>
        <w:t>Total completion time per task.</w:t>
      </w:r>
    </w:p>
    <w:p w14:paraId="2C53D6F1">
      <w:r>
        <w:t>Qualitative Data:</w:t>
      </w:r>
    </w:p>
    <w:p w14:paraId="5D434786">
      <w:r>
        <w:t>Short Likert-scale questionnaire (1–5):</w:t>
      </w:r>
      <w:r>
        <w:br w:type="textWrapping"/>
      </w:r>
      <w:r>
        <w:t>1. I could clearly see what others were doing.</w:t>
      </w:r>
      <w:r>
        <w:br w:type="textWrapping"/>
      </w:r>
      <w:r>
        <w:t>2. Collaboration felt smooth and coordinated.</w:t>
      </w:r>
      <w:r>
        <w:br w:type="textWrapping"/>
      </w:r>
      <w:r>
        <w:t>3. I could easily identify which parts were mine or others’.</w:t>
      </w:r>
      <w:r>
        <w:br w:type="textWrapping"/>
      </w:r>
      <w:r>
        <w:t>4. I would like to co-create with others again.</w:t>
      </w:r>
      <w:r>
        <w:br w:type="textWrapping"/>
      </w:r>
      <w:r>
        <w:br w:type="textWrapping"/>
      </w:r>
      <w:r>
        <w:t>Semi-structured interview (5–10 min):</w:t>
      </w:r>
      <w:r>
        <w:br w:type="textWrapping"/>
      </w:r>
      <w:r>
        <w:rPr>
          <w:rFonts w:hint="eastAsia" w:eastAsia="宋体"/>
          <w:lang w:val="en-US" w:eastAsia="zh-CN"/>
        </w:rPr>
        <w:t xml:space="preserve">1. </w:t>
      </w:r>
      <w:r>
        <w:t>Which features helped you understand others’ actions?</w:t>
      </w:r>
      <w:r>
        <w:br w:type="textWrapping"/>
      </w:r>
      <w:r>
        <w:rPr>
          <w:rFonts w:hint="eastAsia" w:eastAsia="宋体"/>
          <w:lang w:val="en-US" w:eastAsia="zh-CN"/>
        </w:rPr>
        <w:t xml:space="preserve">2. </w:t>
      </w:r>
      <w:r>
        <w:t>When did you feel confused or interrupted?</w:t>
      </w:r>
      <w:r>
        <w:br w:type="textWrapping"/>
      </w:r>
      <w:r>
        <w:rPr>
          <w:rFonts w:hint="eastAsia" w:eastAsia="宋体"/>
          <w:lang w:val="en-US" w:eastAsia="zh-CN"/>
        </w:rPr>
        <w:t xml:space="preserve">3. </w:t>
      </w:r>
      <w:r>
        <w:t>How did you communicate or coordinate changes?</w:t>
      </w:r>
      <w:r>
        <w:br w:type="textWrapping"/>
      </w:r>
      <w:r>
        <w:rPr>
          <w:rFonts w:hint="eastAsia" w:eastAsia="宋体"/>
          <w:lang w:val="en-US" w:eastAsia="zh-CN"/>
        </w:rPr>
        <w:t xml:space="preserve">4. </w:t>
      </w:r>
      <w:r>
        <w:t>If you could improve one feature, what would it be?</w:t>
      </w:r>
    </w:p>
    <w:p w14:paraId="6962C563">
      <w:pPr>
        <w:pStyle w:val="4"/>
      </w:pPr>
      <w:r>
        <w:t>6. Procedure (Approx. 60–75 minutes)</w:t>
      </w:r>
    </w:p>
    <w:p w14:paraId="5FE006F4">
      <w:r>
        <w:t>Introduction – Welcome, consent, prototype demonstration (5 min)</w:t>
      </w:r>
      <w:r>
        <w:br w:type="textWrapping"/>
      </w:r>
      <w:r>
        <w:t>Task Execution – Task 1 + Task 2 (25 min)</w:t>
      </w:r>
      <w:r>
        <w:br w:type="textWrapping"/>
      </w:r>
      <w:r>
        <w:t>Review &amp; Discussion – Task 3 (10 min)</w:t>
      </w:r>
      <w:r>
        <w:br w:type="textWrapping"/>
      </w:r>
      <w:r>
        <w:t>Questionnaire &amp; Interview – Post-session feedback (15 min)</w:t>
      </w:r>
      <w:r>
        <w:br w:type="textWrapping"/>
      </w:r>
      <w:r>
        <w:t>Wrap-up – Summary and debrief (10 min)</w:t>
      </w:r>
    </w:p>
    <w:p w14:paraId="22162ED6">
      <w:pPr>
        <w:pStyle w:val="4"/>
      </w:pPr>
      <w:r>
        <w:t>7. Observer Focus</w:t>
      </w:r>
    </w:p>
    <w:p w14:paraId="42462B81">
      <w:r>
        <w:t>During the sessions, the facilitator should note:</w:t>
      </w:r>
      <w:r>
        <w:br w:type="textWrapping"/>
      </w:r>
      <w:r>
        <w:rPr>
          <w:rFonts w:hint="eastAsia" w:eastAsia="宋体"/>
          <w:lang w:val="en-US" w:eastAsia="zh-CN"/>
        </w:rPr>
        <w:t>·</w:t>
      </w:r>
      <w:r>
        <w:t>How participants coordinate space and actions on the shared canvas.</w:t>
      </w:r>
      <w:r>
        <w:br w:type="textWrapping"/>
      </w:r>
      <w:r>
        <w:rPr>
          <w:rFonts w:hint="eastAsia" w:eastAsia="宋体"/>
          <w:lang w:val="en-US" w:eastAsia="zh-CN"/>
        </w:rPr>
        <w:t>·</w:t>
      </w:r>
      <w:r>
        <w:t>How they communicate when overlaps or conflicts occur.</w:t>
      </w:r>
      <w:r>
        <w:br w:type="textWrapping"/>
      </w:r>
      <w:r>
        <w:rPr>
          <w:rFonts w:hint="eastAsia" w:eastAsia="宋体"/>
          <w:lang w:val="en-US" w:eastAsia="zh-CN"/>
        </w:rPr>
        <w:t>·</w:t>
      </w:r>
      <w:r>
        <w:t>Who initiates, who follows, and who hesitates.</w:t>
      </w:r>
      <w:r>
        <w:br w:type="textWrapping"/>
      </w:r>
      <w:r>
        <w:rPr>
          <w:rFonts w:hint="eastAsia" w:eastAsia="宋体"/>
          <w:lang w:val="en-US" w:eastAsia="zh-CN"/>
        </w:rPr>
        <w:t>·</w:t>
      </w:r>
      <w:r>
        <w:t>Whether users pay attention to others’ ongoing work.</w:t>
      </w:r>
      <w:r>
        <w:br w:type="textWrapping"/>
      </w:r>
      <w:r>
        <w:rPr>
          <w:rFonts w:hint="eastAsia" w:eastAsia="宋体"/>
          <w:lang w:val="en-US" w:eastAsia="zh-CN"/>
        </w:rPr>
        <w:t>·</w:t>
      </w:r>
      <w:r>
        <w:t>How participants negotiate “who draws where.”</w:t>
      </w:r>
    </w:p>
    <w:p w14:paraId="51FF5CB8">
      <w:pPr>
        <w:pStyle w:val="4"/>
      </w:pPr>
      <w:r>
        <w:t>8. Expected Outcomes</w:t>
      </w:r>
    </w:p>
    <w:p w14:paraId="114ABE20">
      <w:r>
        <w:t>Over 70% of participants agree that they can clearly understand others’ activities.</w:t>
      </w:r>
      <w:r>
        <w:br w:type="textWrapping"/>
      </w:r>
      <w:r>
        <w:t>Teams produce a coherent shared artwork within the allocated time.</w:t>
      </w:r>
      <w:r>
        <w:br w:type="textWrapping"/>
      </w:r>
      <w:r>
        <w:t>Natural patterns of division of labour, coordination, and repair emerge.</w:t>
      </w:r>
      <w:r>
        <w:br w:type="textWrapping"/>
      </w:r>
      <w:r>
        <w:t>At least one participant expresses willingness to continue collaborative creation after the test.</w:t>
      </w:r>
    </w:p>
    <w:p w14:paraId="0A1124D4">
      <w:pPr>
        <w:pStyle w:val="4"/>
      </w:pPr>
      <w:r>
        <w:t>9. Ethics and Privacy</w:t>
      </w:r>
    </w:p>
    <w:p w14:paraId="06716BBA">
      <w:r>
        <w:t>No personal data will be collected; participants may use nicknames or remain anonymous.</w:t>
      </w:r>
      <w:r>
        <w:br w:type="textWrapping"/>
      </w:r>
      <w:r>
        <w:t>Graffiti content created during testing will be stored only for research and analysis.</w:t>
      </w:r>
      <w:r>
        <w:br w:type="textWrapping"/>
      </w:r>
      <w:r>
        <w:t>All participants will be debriefed at the end of the session.</w:t>
      </w:r>
    </w:p>
    <w:p w14:paraId="1E9BB009">
      <w:pPr>
        <w:pStyle w:val="4"/>
      </w:pPr>
      <w:r>
        <w:t>10. Summary</w:t>
      </w:r>
    </w:p>
    <w:p w14:paraId="0262DBAE">
      <w:pPr>
        <w:sectPr>
          <w:pgSz w:w="12240" w:h="15840"/>
          <w:pgMar w:top="1440" w:right="1800" w:bottom="1440" w:left="1800" w:header="720" w:footer="720" w:gutter="0"/>
          <w:cols w:space="720" w:num="1"/>
          <w:docGrid w:linePitch="360" w:charSpace="0"/>
        </w:sectPr>
      </w:pPr>
      <w:r>
        <w:t>This simplified testing plan keeps the core CSCW perspective—awareness, coordination, and articulation work—while remaining feasible for classroom evaluation. It provides both quantitative and qualitative insights into how TagIt supports collaborative creativity, communication, and shared authorship.</w:t>
      </w:r>
    </w:p>
    <w:p w14:paraId="39717BCD">
      <w:pPr>
        <w:rPr>
          <w:rFonts w:hint="default" w:eastAsia="宋体"/>
          <w:lang w:val="en-US" w:eastAsia="zh-CN"/>
        </w:rPr>
      </w:pPr>
      <w:r>
        <w:rPr>
          <w:rFonts w:hint="default" w:eastAsia="宋体"/>
          <w:lang w:val="en-US" w:eastAsia="zh-CN"/>
        </w:rPr>
        <w:t>Feedback</w:t>
      </w:r>
    </w:p>
    <w:p w14:paraId="41B3275E">
      <w:pPr>
        <w:numPr>
          <w:ilvl w:val="0"/>
          <w:numId w:val="7"/>
        </w:numPr>
        <w:rPr>
          <w:rFonts w:hint="default" w:eastAsia="宋体"/>
          <w:lang w:val="en-US" w:eastAsia="zh-CN"/>
        </w:rPr>
      </w:pPr>
      <w:r>
        <w:rPr>
          <w:rFonts w:hint="default" w:eastAsia="宋体"/>
          <w:lang w:val="en-US" w:eastAsia="zh-CN"/>
        </w:rPr>
        <w:t>The system had very high latency, making collaboration difficult and reducing the sense of real-time interaction.</w:t>
      </w:r>
    </w:p>
    <w:p w14:paraId="63C1756E">
      <w:pPr>
        <w:numPr>
          <w:ilvl w:val="0"/>
          <w:numId w:val="7"/>
        </w:numPr>
        <w:ind w:left="0" w:leftChars="0" w:firstLine="0" w:firstLineChars="0"/>
        <w:rPr>
          <w:rFonts w:hint="default" w:eastAsia="宋体"/>
          <w:lang w:val="en-US" w:eastAsia="zh-CN"/>
        </w:rPr>
      </w:pPr>
      <w:r>
        <w:rPr>
          <w:rFonts w:hint="default" w:eastAsia="宋体"/>
          <w:lang w:val="en-US" w:eastAsia="zh-CN"/>
        </w:rPr>
        <w:t>The interface frequently prompted to save a new artwork, which disrupted the workflow.</w:t>
      </w:r>
    </w:p>
    <w:p w14:paraId="4B47CD7B">
      <w:pPr>
        <w:numPr>
          <w:ilvl w:val="0"/>
          <w:numId w:val="7"/>
        </w:numPr>
        <w:ind w:left="0" w:leftChars="0" w:firstLine="0" w:firstLineChars="0"/>
        <w:rPr>
          <w:rFonts w:hint="default" w:eastAsia="宋体"/>
          <w:lang w:val="en-US" w:eastAsia="zh-CN"/>
        </w:rPr>
      </w:pPr>
      <w:r>
        <w:rPr>
          <w:rFonts w:hint="default" w:eastAsia="宋体"/>
          <w:lang w:val="en-US" w:eastAsia="zh-CN"/>
        </w:rPr>
        <w:t>The number of active collaborators displayed was inaccurate.</w:t>
      </w:r>
    </w:p>
    <w:p w14:paraId="6B153515">
      <w:pPr>
        <w:numPr>
          <w:ilvl w:val="0"/>
          <w:numId w:val="7"/>
        </w:numPr>
        <w:ind w:left="0" w:leftChars="0" w:firstLine="0" w:firstLineChars="0"/>
        <w:rPr>
          <w:rFonts w:hint="default" w:eastAsia="宋体"/>
          <w:lang w:val="en-US" w:eastAsia="zh-CN"/>
        </w:rPr>
      </w:pPr>
      <w:r>
        <w:rPr>
          <w:rFonts w:hint="default" w:eastAsia="宋体"/>
          <w:lang w:val="en-US" w:eastAsia="zh-CN"/>
        </w:rPr>
        <w:t>Co-created artworks were not saved consistently across different users.</w:t>
      </w:r>
    </w:p>
    <w:p w14:paraId="1F00DA12">
      <w:pPr>
        <w:numPr>
          <w:ilvl w:val="0"/>
          <w:numId w:val="7"/>
        </w:numPr>
        <w:ind w:left="0" w:leftChars="0" w:firstLine="0" w:firstLineChars="0"/>
        <w:rPr>
          <w:rFonts w:hint="default" w:eastAsia="宋体"/>
          <w:lang w:val="en-US" w:eastAsia="zh-CN"/>
        </w:rPr>
      </w:pPr>
      <w:r>
        <w:rPr>
          <w:rFonts w:hint="default" w:eastAsia="宋体"/>
          <w:lang w:val="en-US" w:eastAsia="zh-CN"/>
        </w:rPr>
        <w:t>The brush tools were too limited and not easy to use.</w:t>
      </w:r>
    </w:p>
    <w:p w14:paraId="5ACF8E74">
      <w:pPr>
        <w:numPr>
          <w:ilvl w:val="0"/>
          <w:numId w:val="7"/>
        </w:numPr>
        <w:ind w:left="0" w:leftChars="0" w:firstLine="0" w:firstLineChars="0"/>
        <w:rPr>
          <w:rFonts w:hint="default" w:eastAsia="宋体"/>
          <w:lang w:val="en-US" w:eastAsia="zh-CN"/>
        </w:rPr>
      </w:pPr>
      <w:r>
        <w:rPr>
          <w:rFonts w:hint="default" w:eastAsia="宋体"/>
          <w:lang w:val="en-US" w:eastAsia="zh-CN"/>
        </w:rPr>
        <w:t>The interface guidance was confusing, with insufficient instructions for interaction.</w:t>
      </w:r>
    </w:p>
    <w:p w14:paraId="5F51323C">
      <w:pPr>
        <w:numPr>
          <w:ilvl w:val="0"/>
          <w:numId w:val="7"/>
        </w:numPr>
        <w:ind w:left="0" w:leftChars="0" w:firstLine="0" w:firstLineChars="0"/>
        <w:rPr>
          <w:rFonts w:hint="default" w:eastAsia="宋体"/>
          <w:lang w:val="en-US" w:eastAsia="zh-CN"/>
        </w:rPr>
      </w:pPr>
      <w:r>
        <w:rPr>
          <w:rFonts w:hint="default" w:eastAsia="宋体"/>
          <w:lang w:val="en-US" w:eastAsia="zh-CN"/>
        </w:rPr>
        <w:t>There was no undo option, making error correction difficult.</w:t>
      </w:r>
    </w:p>
    <w:p w14:paraId="39C9798C">
      <w:pPr>
        <w:rPr>
          <w:rFonts w:hint="default" w:eastAsia="宋体"/>
          <w:lang w:val="en-US" w:eastAsia="zh-CN"/>
        </w:rPr>
      </w:pPr>
      <w:r>
        <w:rPr>
          <w:rFonts w:hint="default" w:eastAsia="宋体"/>
          <w:lang w:val="en-US" w:eastAsia="zh-CN"/>
        </w:rPr>
        <w:t>Suggestions</w:t>
      </w:r>
    </w:p>
    <w:p w14:paraId="6207C942">
      <w:pPr>
        <w:numPr>
          <w:ilvl w:val="0"/>
          <w:numId w:val="8"/>
        </w:numPr>
        <w:rPr>
          <w:rFonts w:hint="default" w:eastAsia="宋体"/>
          <w:lang w:val="en-US" w:eastAsia="zh-CN"/>
        </w:rPr>
      </w:pPr>
      <w:r>
        <w:rPr>
          <w:rFonts w:hint="default" w:eastAsia="宋体"/>
          <w:lang w:val="en-US" w:eastAsia="zh-CN"/>
        </w:rPr>
        <w:t>Reduce system latency to enable smoother real-time collaboration.</w:t>
      </w:r>
    </w:p>
    <w:p w14:paraId="7F8DB8EC">
      <w:pPr>
        <w:numPr>
          <w:ilvl w:val="0"/>
          <w:numId w:val="8"/>
        </w:numPr>
        <w:ind w:left="0" w:leftChars="0" w:firstLine="0" w:firstLineChars="0"/>
        <w:rPr>
          <w:rFonts w:hint="default" w:eastAsia="宋体"/>
          <w:lang w:val="en-US" w:eastAsia="zh-CN"/>
        </w:rPr>
      </w:pPr>
      <w:r>
        <w:rPr>
          <w:rFonts w:hint="default" w:eastAsia="宋体"/>
          <w:lang w:val="en-US" w:eastAsia="zh-CN"/>
        </w:rPr>
        <w:t>Add an undo function to allow users to correct mistakes easily.</w:t>
      </w:r>
    </w:p>
    <w:p w14:paraId="175265B4">
      <w:pPr>
        <w:numPr>
          <w:ilvl w:val="0"/>
          <w:numId w:val="8"/>
        </w:numPr>
        <w:ind w:left="0" w:leftChars="0" w:firstLine="0" w:firstLineChars="0"/>
        <w:rPr>
          <w:rFonts w:hint="default" w:eastAsia="宋体"/>
          <w:lang w:val="en-US" w:eastAsia="zh-CN"/>
        </w:rPr>
      </w:pPr>
      <w:r>
        <w:rPr>
          <w:rFonts w:hint="default" w:eastAsia="宋体"/>
          <w:lang w:val="en-US" w:eastAsia="zh-CN"/>
        </w:rPr>
        <w:t>Provide more brush tools to support diverse drawing styles.</w:t>
      </w:r>
    </w:p>
    <w:p w14:paraId="3BD5B883">
      <w:pPr>
        <w:numPr>
          <w:ilvl w:val="0"/>
          <w:numId w:val="8"/>
        </w:numPr>
        <w:ind w:left="0" w:leftChars="0" w:firstLine="0" w:firstLineChars="0"/>
        <w:rPr>
          <w:rFonts w:hint="default" w:eastAsia="宋体"/>
          <w:lang w:val="en-US" w:eastAsia="zh-CN"/>
        </w:rPr>
      </w:pPr>
      <w:bookmarkStart w:id="0" w:name="_GoBack"/>
      <w:bookmarkEnd w:id="0"/>
      <w:r>
        <w:rPr>
          <w:rFonts w:hint="default" w:eastAsia="宋体"/>
          <w:lang w:val="en-US" w:eastAsia="zh-CN"/>
        </w:rPr>
        <w:t>Optimize the interface and interaction design to make the system more intuitive and user-friendly.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3E0475"/>
    <w:multiLevelType w:val="singleLevel"/>
    <w:tmpl w:val="F73E0475"/>
    <w:lvl w:ilvl="0" w:tentative="0">
      <w:start w:val="1"/>
      <w:numFmt w:val="decimal"/>
      <w:suff w:val="space"/>
      <w:lvlText w:val="%1."/>
      <w:lvlJc w:val="left"/>
    </w:lvl>
  </w:abstractNum>
  <w:abstractNum w:abstractNumId="1">
    <w:nsid w:val="F77F3099"/>
    <w:multiLevelType w:val="singleLevel"/>
    <w:tmpl w:val="F77F3099"/>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BB50DE"/>
    <w:rsid w:val="F2FD84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52</TotalTime>
  <ScaleCrop>false</ScaleCrop>
  <LinksUpToDate>false</LinksUpToDate>
  <CharactersWithSpaces>0</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2013-12-24T19:15:00Z</dcterms:created>
  <dc:creator>python-docx</dc:creator>
  <dc:description>generated by python-docx</dc:description>
  <cp:lastModifiedBy>Haoran Liang</cp:lastModifiedBy>
  <dcterms:modified xsi:type="dcterms:W3CDTF">2025-10-19T21:49:52Z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2052-12.1.22533.22533</vt:lpwstr>
  </property>
  <property fmtid="{D5CDD505-2E9C-101B-9397-08002B2CF9AE}" pid="3" name="ICV">
    <vt:lpwstr>DD0500C40C3B9F59BDB4ED6871D64F09_42</vt:lpwstr>
  </property>
</Properties>
</file>