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anuscript-tables"/>
    <w:p>
      <w:pPr>
        <w:pStyle w:val="Heading1"/>
      </w:pPr>
      <w:r>
        <w:t xml:space="preserve">Manuscript Tables</w:t>
      </w:r>
    </w:p>
    <w:bookmarkStart w:id="9" w:name="Xabb6afb72cee445e2b9e507153807c76bc28dcf"/>
    <w:p>
      <w:pPr>
        <w:pStyle w:val="Heading2"/>
      </w:pPr>
      <w:r>
        <w:t xml:space="preserve">Table 4. Probability of ruin (P10) with vs. without insurance, by horizon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Events (with / no)</w:t>
            </w:r>
          </w:p>
        </w:tc>
        <w:tc>
          <w:tcPr/>
          <w:p>
            <w:pPr>
              <w:pStyle w:val="Compact"/>
            </w:pPr>
            <w:r>
              <w:t xml:space="preserve">P10 with insurance [95% CI]</w:t>
            </w:r>
          </w:p>
        </w:tc>
        <w:tc>
          <w:tcPr/>
          <w:p>
            <w:pPr>
              <w:pStyle w:val="Compact"/>
            </w:pPr>
            <w:r>
              <w:t xml:space="preserve">P10 no insurance [95% CI]</w:t>
            </w:r>
          </w:p>
        </w:tc>
        <w:tc>
          <w:tcPr/>
          <w:p>
            <w:pPr>
              <w:pStyle w:val="Compact"/>
            </w:pPr>
            <w:r>
              <w:t xml:space="preserve">λ ratio (with/no) [95% CI]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RA, short</w:t>
            </w:r>
          </w:p>
        </w:tc>
        <w:tc>
          <w:tcPr/>
          <w:p>
            <w:pPr>
              <w:pStyle w:val="Compact"/>
            </w:pPr>
            <w:r>
              <w:t xml:space="preserve">9 / 28</w:t>
            </w:r>
          </w:p>
        </w:tc>
        <w:tc>
          <w:tcPr/>
          <w:p>
            <w:pPr>
              <w:pStyle w:val="Compact"/>
            </w:pPr>
            <w:r>
              <w:t xml:space="preserve">0.0066 [0.0028, 0.0116]</w:t>
            </w:r>
          </w:p>
        </w:tc>
        <w:tc>
          <w:tcPr/>
          <w:p>
            <w:pPr>
              <w:pStyle w:val="Compact"/>
            </w:pPr>
            <w:r>
              <w:t xml:space="preserve">0.0250 [0.0171, 0.0350]</w:t>
            </w:r>
          </w:p>
        </w:tc>
        <w:tc>
          <w:tcPr/>
          <w:p>
            <w:pPr>
              <w:pStyle w:val="Compact"/>
            </w:pPr>
            <w:r>
              <w:t xml:space="preserve">0.262 [0.096, 0.538]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RA, intermediate</w:t>
            </w:r>
          </w:p>
        </w:tc>
        <w:tc>
          <w:tcPr/>
          <w:p>
            <w:pPr>
              <w:pStyle w:val="Compact"/>
            </w:pPr>
            <w:r>
              <w:t xml:space="preserve">22 / 51</w:t>
            </w:r>
          </w:p>
        </w:tc>
        <w:tc>
          <w:tcPr/>
          <w:p>
            <w:pPr>
              <w:pStyle w:val="Compact"/>
            </w:pPr>
            <w:r>
              <w:t xml:space="preserve">0.0174 [0.0112, 0.0250]</w:t>
            </w:r>
          </w:p>
        </w:tc>
        <w:tc>
          <w:tcPr/>
          <w:p>
            <w:pPr>
              <w:pStyle w:val="Compact"/>
            </w:pPr>
            <w:r>
              <w:t xml:space="preserve">0.0760 [0.0581, 0.1001]</w:t>
            </w:r>
          </w:p>
        </w:tc>
        <w:tc>
          <w:tcPr/>
          <w:p>
            <w:pPr>
              <w:pStyle w:val="Compact"/>
            </w:pPr>
            <w:r>
              <w:t xml:space="preserve">0.222 [0.130, 0.358]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RA, long</w:t>
            </w:r>
          </w:p>
        </w:tc>
        <w:tc>
          <w:tcPr/>
          <w:p>
            <w:pPr>
              <w:pStyle w:val="Compact"/>
            </w:pPr>
            <w:r>
              <w:t xml:space="preserve">37 / 57</w:t>
            </w:r>
          </w:p>
        </w:tc>
        <w:tc>
          <w:tcPr/>
          <w:p>
            <w:pPr>
              <w:pStyle w:val="Compact"/>
            </w:pPr>
            <w:r>
              <w:t xml:space="preserve">0.0397 [0.0279, 0.0554]</w:t>
            </w:r>
          </w:p>
        </w:tc>
        <w:tc>
          <w:tcPr/>
          <w:p>
            <w:pPr>
              <w:pStyle w:val="Compact"/>
            </w:pPr>
            <w:r>
              <w:t xml:space="preserve">0.1490 [0.1134, 0.1963]</w:t>
            </w:r>
          </w:p>
        </w:tc>
        <w:tc>
          <w:tcPr/>
          <w:p>
            <w:pPr>
              <w:pStyle w:val="Compact"/>
            </w:pPr>
            <w:r>
              <w:t xml:space="preserve">0.251 [0.154, 0.400]</w:t>
            </w:r>
          </w:p>
        </w:tc>
      </w:tr>
    </w:tbl>
    <w:bookmarkEnd w:id="9"/>
    <w:bookmarkStart w:id="10" w:name="X4d5d2b9c96c03fa4e14305dc9c93d82fc876755"/>
    <w:p>
      <w:pPr>
        <w:pStyle w:val="Heading2"/>
      </w:pPr>
      <w:r>
        <w:t xml:space="preserve">Table S3. Percent increase in xt by life history × aversion × 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 history</w:t>
            </w:r>
          </w:p>
        </w:tc>
        <w:tc>
          <w:tcPr/>
          <w:p>
            <w:pPr>
              <w:pStyle w:val="Compact"/>
            </w:pPr>
            <w:r>
              <w:t xml:space="preserve">Aversion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xt=0.25</w:t>
            </w:r>
          </w:p>
        </w:tc>
        <w:tc>
          <w:tcPr/>
          <w:p>
            <w:pPr>
              <w:pStyle w:val="Compact"/>
            </w:pPr>
            <w:r>
              <w:t xml:space="preserve">xt=0.5</w:t>
            </w:r>
          </w:p>
        </w:tc>
        <w:tc>
          <w:tcPr/>
          <w:p>
            <w:pPr>
              <w:pStyle w:val="Compact"/>
            </w:pPr>
            <w:r>
              <w:t xml:space="preserve">xt=1.0</w:t>
            </w:r>
          </w:p>
        </w:tc>
        <w:tc>
          <w:tcPr/>
          <w:p>
            <w:pPr>
              <w:pStyle w:val="Compact"/>
            </w:pPr>
            <w:r>
              <w:t xml:space="preserve">xt=2.0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Base risk</w:t>
            </w:r>
          </w:p>
        </w:tc>
        <w:tc>
          <w:tcPr/>
          <w:p>
            <w:pPr>
              <w:pStyle w:val="Compact"/>
            </w:pPr>
            <w:r>
              <w:t xml:space="preserve">3.43</w:t>
            </w:r>
          </w:p>
        </w:tc>
        <w:tc>
          <w:tcPr/>
          <w:p>
            <w:pPr>
              <w:pStyle w:val="Compact"/>
            </w:pPr>
            <w:r>
              <w:t xml:space="preserve">3.46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3.44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3.48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3.64</w:t>
            </w:r>
          </w:p>
        </w:tc>
        <w:tc>
          <w:tcPr/>
          <w:p>
            <w:pPr>
              <w:pStyle w:val="Compact"/>
            </w:pPr>
            <w:r>
              <w:t xml:space="preserve">3.58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mortality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4.27</w:t>
            </w:r>
          </w:p>
        </w:tc>
        <w:tc>
          <w:tcPr/>
          <w:p>
            <w:pPr>
              <w:pStyle w:val="Compact"/>
            </w:pPr>
            <w:r>
              <w:t xml:space="preserve">4.34</w:t>
            </w:r>
          </w:p>
        </w:tc>
        <w:tc>
          <w:tcPr/>
          <w:p>
            <w:pPr>
              <w:pStyle w:val="Compact"/>
            </w:pPr>
            <w:r>
              <w:t xml:space="preserve">4.33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recurrence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2.46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Base risk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6.96</w:t>
            </w:r>
          </w:p>
        </w:tc>
        <w:tc>
          <w:tcPr/>
          <w:p>
            <w:pPr>
              <w:pStyle w:val="Compact"/>
            </w:pPr>
            <w:r>
              <w:t xml:space="preserve">7.21</w:t>
            </w:r>
          </w:p>
        </w:tc>
        <w:tc>
          <w:tcPr/>
          <w:p>
            <w:pPr>
              <w:pStyle w:val="Compact"/>
            </w:pPr>
            <w:r>
              <w:t xml:space="preserve">7.42</w:t>
            </w:r>
          </w:p>
        </w:tc>
        <w:tc>
          <w:tcPr/>
          <w:p>
            <w:pPr>
              <w:pStyle w:val="Compact"/>
            </w:pPr>
            <w:r>
              <w:t xml:space="preserve">6.98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mortality</w:t>
            </w:r>
          </w:p>
        </w:tc>
        <w:tc>
          <w:tcPr/>
          <w:p>
            <w:pPr>
              <w:pStyle w:val="Compact"/>
            </w:pPr>
            <w:r>
              <w:t xml:space="preserve">7.82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  <w:tc>
          <w:tcPr/>
          <w:p>
            <w:pPr>
              <w:pStyle w:val="Compact"/>
            </w:pPr>
            <w:r>
              <w:t xml:space="preserve">8.27</w:t>
            </w:r>
          </w:p>
        </w:tc>
        <w:tc>
          <w:tcPr/>
          <w:p>
            <w:pPr>
              <w:pStyle w:val="Compact"/>
            </w:pPr>
            <w:r>
              <w:t xml:space="preserve">7.77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recurrence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7.23</w:t>
            </w:r>
          </w:p>
        </w:tc>
        <w:tc>
          <w:tcPr/>
          <w:p>
            <w:pPr>
              <w:pStyle w:val="Compact"/>
            </w:pPr>
            <w:r>
              <w:t xml:space="preserve">7.45</w:t>
            </w:r>
          </w:p>
        </w:tc>
        <w:tc>
          <w:tcPr/>
          <w:p>
            <w:pPr>
              <w:pStyle w:val="Compact"/>
            </w:pPr>
            <w:r>
              <w:t xml:space="preserve">7.09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Base risk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2.46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mortality</w:t>
            </w:r>
          </w:p>
        </w:tc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2.95</w:t>
            </w:r>
          </w:p>
        </w:tc>
        <w:tc>
          <w:tcPr/>
          <w:p>
            <w:pPr>
              <w:pStyle w:val="Compact"/>
            </w:pPr>
            <w:r>
              <w:t xml:space="preserve">2.87</w:t>
            </w:r>
          </w:p>
        </w:tc>
        <w:tc>
          <w:tcPr/>
          <w:p>
            <w:pPr>
              <w:pStyle w:val="Compact"/>
            </w:pPr>
            <w:r>
              <w:t xml:space="preserve">2.72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recurrence</w:t>
            </w:r>
          </w:p>
        </w:tc>
        <w:tc>
          <w:tcPr/>
          <w:p>
            <w:pPr>
              <w:pStyle w:val="Compact"/>
            </w:pPr>
            <w:r>
              <w:t xml:space="preserve">2.51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Base risk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2.62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3.67</w:t>
            </w:r>
          </w:p>
        </w:tc>
        <w:tc>
          <w:tcPr/>
          <w:p>
            <w:pPr>
              <w:pStyle w:val="Compact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mortality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3.73</w:t>
            </w:r>
          </w:p>
        </w:tc>
        <w:tc>
          <w:tcPr/>
          <w:p>
            <w:pPr>
              <w:pStyle w:val="Compact"/>
            </w:pPr>
            <w:r>
              <w:t xml:space="preserve">3.89</w:t>
            </w:r>
          </w:p>
        </w:tc>
        <w:tc>
          <w:tcPr/>
          <w:p>
            <w:pPr>
              <w:pStyle w:val="Compact"/>
            </w:pPr>
            <w:r>
              <w:t xml:space="preserve">3.73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recurrence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t xml:space="preserve">3.53</w:t>
            </w:r>
          </w:p>
        </w:tc>
        <w:tc>
          <w:tcPr/>
          <w:p>
            <w:pPr>
              <w:pStyle w:val="Compact"/>
            </w:pPr>
            <w:r>
              <w:t xml:space="preserve">3.71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Base risk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mortality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 recurrence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Base risk</w:t>
            </w:r>
          </w:p>
        </w:tc>
        <w:tc>
          <w:tcPr/>
          <w:p>
            <w:pPr>
              <w:pStyle w:val="Compact"/>
            </w:pPr>
            <w:r>
              <w:t xml:space="preserve">8.88</w:t>
            </w:r>
          </w:p>
        </w:tc>
        <w:tc>
          <w:tcPr/>
          <w:p>
            <w:pPr>
              <w:pStyle w:val="Compact"/>
            </w:pPr>
            <w:r>
              <w:t xml:space="preserve">9.11</w:t>
            </w:r>
          </w:p>
        </w:tc>
        <w:tc>
          <w:tcPr/>
          <w:p>
            <w:pPr>
              <w:pStyle w:val="Compact"/>
            </w:pPr>
            <w:r>
              <w:t xml:space="preserve">9.35</w:t>
            </w:r>
          </w:p>
        </w:tc>
        <w:tc>
          <w:tcPr/>
          <w:p>
            <w:pPr>
              <w:pStyle w:val="Compact"/>
            </w:pPr>
            <w:r>
              <w:t xml:space="preserve">8.92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13.74</w:t>
            </w:r>
          </w:p>
        </w:tc>
        <w:tc>
          <w:tcPr/>
          <w:p>
            <w:pPr>
              <w:pStyle w:val="Compact"/>
            </w:pPr>
            <w:r>
              <w:t xml:space="preserve">14.25</w:t>
            </w:r>
          </w:p>
        </w:tc>
        <w:tc>
          <w:tcPr/>
          <w:p>
            <w:pPr>
              <w:pStyle w:val="Compact"/>
            </w:pPr>
            <w:r>
              <w:t xml:space="preserve">14.51</w:t>
            </w:r>
          </w:p>
        </w:tc>
        <w:tc>
          <w:tcPr/>
          <w:p>
            <w:pPr>
              <w:pStyle w:val="Compact"/>
            </w:pPr>
            <w:r>
              <w:t xml:space="preserve">13.66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mortality</w:t>
            </w:r>
          </w:p>
        </w:tc>
        <w:tc>
          <w:tcPr/>
          <w:p>
            <w:pPr>
              <w:pStyle w:val="Compact"/>
            </w:pPr>
            <w:r>
              <w:t xml:space="preserve">13.37</w:t>
            </w:r>
          </w:p>
        </w:tc>
        <w:tc>
          <w:tcPr/>
          <w:p>
            <w:pPr>
              <w:pStyle w:val="Compact"/>
            </w:pPr>
            <w:r>
              <w:t xml:space="preserve">13.76</w:t>
            </w:r>
          </w:p>
        </w:tc>
        <w:tc>
          <w:tcPr/>
          <w:p>
            <w:pPr>
              <w:pStyle w:val="Compact"/>
            </w:pPr>
            <w:r>
              <w:t xml:space="preserve">14.00</w:t>
            </w:r>
          </w:p>
        </w:tc>
        <w:tc>
          <w:tcPr/>
          <w:p>
            <w:pPr>
              <w:pStyle w:val="Compact"/>
            </w:pPr>
            <w:r>
              <w:t xml:space="preserve">13.17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 recurrence</w:t>
            </w:r>
          </w:p>
        </w:tc>
        <w:tc>
          <w:tcPr/>
          <w:p>
            <w:pPr>
              <w:pStyle w:val="Compact"/>
            </w:pPr>
            <w:r>
              <w:t xml:space="preserve">12.98</w:t>
            </w:r>
          </w:p>
        </w:tc>
        <w:tc>
          <w:tcPr/>
          <w:p>
            <w:pPr>
              <w:pStyle w:val="Compact"/>
            </w:pPr>
            <w:r>
              <w:t xml:space="preserve">13.36</w:t>
            </w:r>
          </w:p>
        </w:tc>
        <w:tc>
          <w:tcPr/>
          <w:p>
            <w:pPr>
              <w:pStyle w:val="Compact"/>
            </w:pPr>
            <w:r>
              <w:t xml:space="preserve">13.63</w:t>
            </w:r>
          </w:p>
        </w:tc>
        <w:tc>
          <w:tcPr/>
          <w:p>
            <w:pPr>
              <w:pStyle w:val="Compact"/>
            </w:pPr>
            <w:r>
              <w:t xml:space="preserve">12.86</w:t>
            </w:r>
          </w:p>
        </w:tc>
      </w:tr>
    </w:tbl>
    <w:bookmarkEnd w:id="10"/>
    <w:bookmarkStart w:id="11" w:name="X34c41694db7f541f588308c493e56a95539fdc8"/>
    <w:p>
      <w:pPr>
        <w:pStyle w:val="Heading2"/>
      </w:pPr>
      <w:r>
        <w:t xml:space="preserve">Table S4. Percent increase in xt (intermediate life history), economic-parameter sensitivity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Aversion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xt=0.25</w:t>
            </w:r>
          </w:p>
        </w:tc>
        <w:tc>
          <w:tcPr/>
          <w:p>
            <w:pPr>
              <w:pStyle w:val="Compact"/>
            </w:pPr>
            <w:r>
              <w:t xml:space="preserve">xt=0.5</w:t>
            </w:r>
          </w:p>
        </w:tc>
        <w:tc>
          <w:tcPr/>
          <w:p>
            <w:pPr>
              <w:pStyle w:val="Compact"/>
            </w:pPr>
            <w:r>
              <w:t xml:space="preserve">xt=1.0</w:t>
            </w:r>
          </w:p>
        </w:tc>
        <w:tc>
          <w:tcPr/>
          <w:p>
            <w:pPr>
              <w:pStyle w:val="Compact"/>
            </w:pPr>
            <w:r>
              <w:t xml:space="preserve">xt=2.0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3.43</w:t>
            </w:r>
          </w:p>
        </w:tc>
        <w:tc>
          <w:tcPr/>
          <w:p>
            <w:pPr>
              <w:pStyle w:val="Compact"/>
            </w:pPr>
            <w:r>
              <w:t xml:space="preserve">3.46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3.44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Lower fixed costs (higher y0)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Higher fixed costs (lower y0)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2.97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Bankruptcy</w:t>
            </w:r>
          </w:p>
        </w:tc>
        <w:tc>
          <w:tcPr/>
          <w:p>
            <w:pPr>
              <w:pStyle w:val="Compact"/>
            </w:pPr>
            <w:r>
              <w:t xml:space="preserve">Higher interest rate k</w:t>
            </w:r>
          </w:p>
        </w:tc>
        <w:tc>
          <w:tcPr/>
          <w:p>
            <w:pPr>
              <w:pStyle w:val="Compact"/>
            </w:pPr>
            <w:r>
              <w:t xml:space="preserve">3.29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Higher fixed costs (lower y0)</w:t>
            </w:r>
          </w:p>
        </w:tc>
        <w:tc>
          <w:tcPr/>
          <w:p>
            <w:pPr>
              <w:pStyle w:val="Compact"/>
            </w:pPr>
            <w:r>
              <w:t xml:space="preserve">33.45</w:t>
            </w:r>
          </w:p>
        </w:tc>
        <w:tc>
          <w:tcPr/>
          <w:p>
            <w:pPr>
              <w:pStyle w:val="Compact"/>
            </w:pPr>
            <w:r>
              <w:t xml:space="preserve">33.00</w:t>
            </w:r>
          </w:p>
        </w:tc>
        <w:tc>
          <w:tcPr/>
          <w:p>
            <w:pPr>
              <w:pStyle w:val="Compact"/>
            </w:pPr>
            <w:r>
              <w:t xml:space="preserve">30.02</w:t>
            </w:r>
          </w:p>
        </w:tc>
        <w:tc>
          <w:tcPr/>
          <w:p>
            <w:pPr>
              <w:pStyle w:val="Compact"/>
            </w:pPr>
            <w:r>
              <w:t xml:space="preserve">24.92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Higher risk-aversion a</w:t>
            </w:r>
          </w:p>
        </w:tc>
        <w:tc>
          <w:tcPr/>
          <w:p>
            <w:pPr>
              <w:pStyle w:val="Compact"/>
            </w:pPr>
            <w:r>
              <w:t xml:space="preserve">37.05</w:t>
            </w:r>
          </w:p>
        </w:tc>
        <w:tc>
          <w:tcPr/>
          <w:p>
            <w:pPr>
              <w:pStyle w:val="Compact"/>
            </w:pPr>
            <w:r>
              <w:t xml:space="preserve">44.14</w:t>
            </w:r>
          </w:p>
        </w:tc>
        <w:tc>
          <w:tcPr/>
          <w:p>
            <w:pPr>
              <w:pStyle w:val="Compact"/>
            </w:pPr>
            <w:r>
              <w:t xml:space="preserve">67.22</w:t>
            </w:r>
          </w:p>
        </w:tc>
        <w:tc>
          <w:tcPr/>
          <w:p>
            <w:pPr>
              <w:pStyle w:val="Compact"/>
            </w:pPr>
            <w:r>
              <w:t xml:space="preserve">62.75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Higher interest rate k</w:t>
            </w:r>
          </w:p>
        </w:tc>
        <w:tc>
          <w:tcPr/>
          <w:p>
            <w:pPr>
              <w:pStyle w:val="Compact"/>
            </w:pPr>
            <w:r>
              <w:t xml:space="preserve">5.39</w:t>
            </w:r>
          </w:p>
        </w:tc>
        <w:tc>
          <w:tcPr/>
          <w:p>
            <w:pPr>
              <w:pStyle w:val="Compact"/>
            </w:pPr>
            <w:r>
              <w:t xml:space="preserve">5.42</w:t>
            </w:r>
          </w:p>
        </w:tc>
        <w:tc>
          <w:tcPr/>
          <w:p>
            <w:pPr>
              <w:pStyle w:val="Compact"/>
            </w:pPr>
            <w:r>
              <w:t xml:space="preserve">5.26</w:t>
            </w:r>
          </w:p>
        </w:tc>
        <w:tc>
          <w:tcPr/>
          <w:p>
            <w:pPr>
              <w:pStyle w:val="Compact"/>
            </w:pPr>
            <w:r>
              <w:t xml:space="preserve">4.58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Risk-averse</w:t>
            </w:r>
          </w:p>
        </w:tc>
        <w:tc>
          <w:tcPr/>
          <w:p>
            <w:pPr>
              <w:pStyle w:val="Compact"/>
            </w:pPr>
            <w:r>
              <w:t xml:space="preserve">Lower B_limit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</w:tr>
    </w:tbl>
    <w:bookmarkEnd w:id="11"/>
    <w:bookmarkStart w:id="12" w:name="X926376f3b7d163b715ac0999c5d0631f40f6dee"/>
    <w:p>
      <w:pPr>
        <w:pStyle w:val="Heading2"/>
      </w:pPr>
      <w:r>
        <w:t xml:space="preserve">Table S5. P10 with vs. without insurance, by life history × perturbation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 history</w:t>
            </w:r>
          </w:p>
        </w:tc>
        <w:tc>
          <w:tcPr/>
          <w:p>
            <w:pPr>
              <w:pStyle w:val="Compact"/>
            </w:pPr>
            <w:r>
              <w:t xml:space="preserve">Perturbation</w:t>
            </w:r>
          </w:p>
        </w:tc>
        <w:tc>
          <w:tcPr/>
          <w:p>
            <w:pPr>
              <w:pStyle w:val="Compact"/>
            </w:pPr>
            <w:r>
              <w:t xml:space="preserve">Events (with / no)</w:t>
            </w:r>
          </w:p>
        </w:tc>
        <w:tc>
          <w:tcPr/>
          <w:p>
            <w:pPr>
              <w:pStyle w:val="Compact"/>
            </w:pPr>
            <w:r>
              <w:t xml:space="preserve">P10 with % [95% CI]</w:t>
            </w:r>
          </w:p>
        </w:tc>
        <w:tc>
          <w:tcPr/>
          <w:p>
            <w:pPr>
              <w:pStyle w:val="Compact"/>
            </w:pPr>
            <w:r>
              <w:t xml:space="preserve">P10 no % [95% CI]</w:t>
            </w:r>
          </w:p>
        </w:tc>
        <w:tc>
          <w:tcPr/>
          <w:p>
            <w:pPr>
              <w:pStyle w:val="Compact"/>
            </w:pPr>
            <w:r>
              <w:t xml:space="preserve">λ ratio [95% CI]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21 / 51</w:t>
            </w:r>
          </w:p>
        </w:tc>
        <w:tc>
          <w:tcPr/>
          <w:p>
            <w:pPr>
              <w:pStyle w:val="Compact"/>
            </w:pPr>
            <w:r>
              <w:t xml:space="preserve">1.74 [1.07, 2.56]</w:t>
            </w:r>
          </w:p>
        </w:tc>
        <w:tc>
          <w:tcPr/>
          <w:p>
            <w:pPr>
              <w:pStyle w:val="Compact"/>
            </w:pPr>
            <w:r>
              <w:t xml:space="preserve">7.93 [6.05, 10.63]</w:t>
            </w:r>
          </w:p>
        </w:tc>
        <w:tc>
          <w:tcPr/>
          <w:p>
            <w:pPr>
              <w:pStyle w:val="Compact"/>
            </w:pPr>
            <w:r>
              <w:t xml:space="preserve">0.212 [0.114, 0.363]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Higher frequency</w:t>
            </w:r>
          </w:p>
        </w:tc>
        <w:tc>
          <w:tcPr/>
          <w:p>
            <w:pPr>
              <w:pStyle w:val="Compact"/>
            </w:pPr>
            <w:r>
              <w:t xml:space="preserve">33 / 55</w:t>
            </w:r>
          </w:p>
        </w:tc>
        <w:tc>
          <w:tcPr/>
          <w:p>
            <w:pPr>
              <w:pStyle w:val="Compact"/>
            </w:pPr>
            <w:r>
              <w:t xml:space="preserve">3.36 [2.33, 4.70]</w:t>
            </w:r>
          </w:p>
        </w:tc>
        <w:tc>
          <w:tcPr/>
          <w:p>
            <w:pPr>
              <w:pStyle w:val="Compact"/>
            </w:pPr>
            <w:r>
              <w:t xml:space="preserve">10.29 [7.92, 13.36]</w:t>
            </w:r>
          </w:p>
        </w:tc>
        <w:tc>
          <w:tcPr/>
          <w:p>
            <w:pPr>
              <w:pStyle w:val="Compact"/>
            </w:pPr>
            <w:r>
              <w:t xml:space="preserve">0.315 [0.187, 0.502]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Higher severity</w:t>
            </w:r>
          </w:p>
        </w:tc>
        <w:tc>
          <w:tcPr/>
          <w:p>
            <w:pPr>
              <w:pStyle w:val="Compact"/>
            </w:pPr>
            <w:r>
              <w:t xml:space="preserve">32 / 57</w:t>
            </w:r>
          </w:p>
        </w:tc>
        <w:tc>
          <w:tcPr/>
          <w:p>
            <w:pPr>
              <w:pStyle w:val="Compact"/>
            </w:pPr>
            <w:r>
              <w:t xml:space="preserve">3.16 [2.14, 4.41]</w:t>
            </w:r>
          </w:p>
        </w:tc>
        <w:tc>
          <w:tcPr/>
          <w:p>
            <w:pPr>
              <w:pStyle w:val="Compact"/>
            </w:pPr>
            <w:r>
              <w:t xml:space="preserve">12.51 [9.77, 16.28]</w:t>
            </w:r>
          </w:p>
        </w:tc>
        <w:tc>
          <w:tcPr/>
          <w:p>
            <w:pPr>
              <w:pStyle w:val="Compact"/>
            </w:pPr>
            <w:r>
              <w:t xml:space="preserve">0.240 [0.150, 0.362]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Higher recurrence</w:t>
            </w:r>
          </w:p>
        </w:tc>
        <w:tc>
          <w:tcPr/>
          <w:p>
            <w:pPr>
              <w:pStyle w:val="Compact"/>
            </w:pPr>
            <w:r>
              <w:t xml:space="preserve">40 / 58</w:t>
            </w:r>
          </w:p>
        </w:tc>
        <w:tc>
          <w:tcPr/>
          <w:p>
            <w:pPr>
              <w:pStyle w:val="Compact"/>
            </w:pPr>
            <w:r>
              <w:t xml:space="preserve">4.68 [3.34, 6.42]</w:t>
            </w:r>
          </w:p>
        </w:tc>
        <w:tc>
          <w:tcPr/>
          <w:p>
            <w:pPr>
              <w:pStyle w:val="Compact"/>
            </w:pPr>
            <w:r>
              <w:t xml:space="preserve">14.84 [11.71, 18.88]</w:t>
            </w:r>
          </w:p>
        </w:tc>
        <w:tc>
          <w:tcPr/>
          <w:p>
            <w:pPr>
              <w:pStyle w:val="Compact"/>
            </w:pPr>
            <w:r>
              <w:t xml:space="preserve">0.299 [0.191, 0.451]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15 / 26</w:t>
            </w:r>
          </w:p>
        </w:tc>
        <w:tc>
          <w:tcPr/>
          <w:p>
            <w:pPr>
              <w:pStyle w:val="Compact"/>
            </w:pPr>
            <w:r>
              <w:t xml:space="preserve">1.13 [0.64, 1.74]</w:t>
            </w:r>
          </w:p>
        </w:tc>
        <w:tc>
          <w:tcPr/>
          <w:p>
            <w:pPr>
              <w:pStyle w:val="Compact"/>
            </w:pPr>
            <w:r>
              <w:t xml:space="preserve">2.30 [1.54, 3.30]</w:t>
            </w:r>
          </w:p>
        </w:tc>
        <w:tc>
          <w:tcPr/>
          <w:p>
            <w:pPr>
              <w:pStyle w:val="Compact"/>
            </w:pPr>
            <w:r>
              <w:t xml:space="preserve">0.491 [0.229, 0.907]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Higher frequency</w:t>
            </w:r>
          </w:p>
        </w:tc>
        <w:tc>
          <w:tcPr/>
          <w:p>
            <w:pPr>
              <w:pStyle w:val="Compact"/>
            </w:pPr>
            <w:r>
              <w:t xml:space="preserve">18 / 29</w:t>
            </w:r>
          </w:p>
        </w:tc>
        <w:tc>
          <w:tcPr/>
          <w:p>
            <w:pPr>
              <w:pStyle w:val="Compact"/>
            </w:pPr>
            <w:r>
              <w:t xml:space="preserve">1.40 [0.83, 2.14]</w:t>
            </w:r>
          </w:p>
        </w:tc>
        <w:tc>
          <w:tcPr/>
          <w:p>
            <w:pPr>
              <w:pStyle w:val="Compact"/>
            </w:pPr>
            <w:r>
              <w:t xml:space="preserve">2.64 [1.75, 3.76]</w:t>
            </w:r>
          </w:p>
        </w:tc>
        <w:tc>
          <w:tcPr/>
          <w:p>
            <w:pPr>
              <w:pStyle w:val="Compact"/>
            </w:pPr>
            <w:r>
              <w:t xml:space="preserve">0.529 [0.268, 1.010]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Higher severity</w:t>
            </w:r>
          </w:p>
        </w:tc>
        <w:tc>
          <w:tcPr/>
          <w:p>
            <w:pPr>
              <w:pStyle w:val="Compact"/>
            </w:pPr>
            <w:r>
              <w:t xml:space="preserve">24 / 38</w:t>
            </w:r>
          </w:p>
        </w:tc>
        <w:tc>
          <w:tcPr/>
          <w:p>
            <w:pPr>
              <w:pStyle w:val="Compact"/>
            </w:pPr>
            <w:r>
              <w:t xml:space="preserve">2.04 [1.35, 2.93]</w:t>
            </w:r>
          </w:p>
        </w:tc>
        <w:tc>
          <w:tcPr/>
          <w:p>
            <w:pPr>
              <w:pStyle w:val="Compact"/>
            </w:pPr>
            <w:r>
              <w:t xml:space="preserve">4.20 [2.98, 5.78]</w:t>
            </w:r>
          </w:p>
        </w:tc>
        <w:tc>
          <w:tcPr/>
          <w:p>
            <w:pPr>
              <w:pStyle w:val="Compact"/>
            </w:pPr>
            <w:r>
              <w:t xml:space="preserve">0.479 [0.262, 0.837]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Higher recurrence</w:t>
            </w:r>
          </w:p>
        </w:tc>
        <w:tc>
          <w:tcPr/>
          <w:p>
            <w:pPr>
              <w:pStyle w:val="Compact"/>
            </w:pPr>
            <w:r>
              <w:t xml:space="preserve">28 / 39</w:t>
            </w:r>
          </w:p>
        </w:tc>
        <w:tc>
          <w:tcPr/>
          <w:p>
            <w:pPr>
              <w:pStyle w:val="Compact"/>
            </w:pPr>
            <w:r>
              <w:t xml:space="preserve">2.63 [1.77, 3.84]</w:t>
            </w:r>
          </w:p>
        </w:tc>
        <w:tc>
          <w:tcPr/>
          <w:p>
            <w:pPr>
              <w:pStyle w:val="Compact"/>
            </w:pPr>
            <w:r>
              <w:t xml:space="preserve">4.21 [3.07, 5.71]</w:t>
            </w:r>
          </w:p>
        </w:tc>
        <w:tc>
          <w:tcPr/>
          <w:p>
            <w:pPr>
              <w:pStyle w:val="Compact"/>
            </w:pPr>
            <w:r>
              <w:t xml:space="preserve">0.620 [0.371, 1.030]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34 / 59</w:t>
            </w:r>
          </w:p>
        </w:tc>
        <w:tc>
          <w:tcPr/>
          <w:p>
            <w:pPr>
              <w:pStyle w:val="Compact"/>
            </w:pPr>
            <w:r>
              <w:t xml:space="preserve">3.47 [2.40, 4.83]</w:t>
            </w:r>
          </w:p>
        </w:tc>
        <w:tc>
          <w:tcPr/>
          <w:p>
            <w:pPr>
              <w:pStyle w:val="Compact"/>
            </w:pPr>
            <w:r>
              <w:t xml:space="preserve">15.23 [12.27, 19.23]</w:t>
            </w:r>
          </w:p>
        </w:tc>
        <w:tc>
          <w:tcPr/>
          <w:p>
            <w:pPr>
              <w:pStyle w:val="Compact"/>
            </w:pPr>
            <w:r>
              <w:t xml:space="preserve">0.214 [0.141, 0.321]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Higher frequency</w:t>
            </w:r>
          </w:p>
        </w:tc>
        <w:tc>
          <w:tcPr/>
          <w:p>
            <w:pPr>
              <w:pStyle w:val="Compact"/>
            </w:pPr>
            <w:r>
              <w:t xml:space="preserve">58 / 60</w:t>
            </w:r>
          </w:p>
        </w:tc>
        <w:tc>
          <w:tcPr/>
          <w:p>
            <w:pPr>
              <w:pStyle w:val="Compact"/>
            </w:pPr>
            <w:r>
              <w:t xml:space="preserve">14.04 [11.28, 17.82]</w:t>
            </w:r>
          </w:p>
        </w:tc>
        <w:tc>
          <w:tcPr/>
          <w:p>
            <w:pPr>
              <w:pStyle w:val="Compact"/>
            </w:pPr>
            <w:r>
              <w:t xml:space="preserve">26.23 [21.13, 33.18]</w:t>
            </w:r>
          </w:p>
        </w:tc>
        <w:tc>
          <w:tcPr/>
          <w:p>
            <w:pPr>
              <w:pStyle w:val="Compact"/>
            </w:pPr>
            <w:r>
              <w:t xml:space="preserve">0.497 [0.340, 0.707]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Higher severity</w:t>
            </w:r>
          </w:p>
        </w:tc>
        <w:tc>
          <w:tcPr/>
          <w:p>
            <w:pPr>
              <w:pStyle w:val="Compact"/>
            </w:pPr>
            <w:r>
              <w:t xml:space="preserve">49 / 59</w:t>
            </w:r>
          </w:p>
        </w:tc>
        <w:tc>
          <w:tcPr/>
          <w:p>
            <w:pPr>
              <w:pStyle w:val="Compact"/>
            </w:pPr>
            <w:r>
              <w:t xml:space="preserve">7.04 [5.31, 9.47]</w:t>
            </w:r>
          </w:p>
        </w:tc>
        <w:tc>
          <w:tcPr/>
          <w:p>
            <w:pPr>
              <w:pStyle w:val="Compact"/>
            </w:pPr>
            <w:r>
              <w:t xml:space="preserve">22.57 [17.49, 29.18]</w:t>
            </w:r>
          </w:p>
        </w:tc>
        <w:tc>
          <w:tcPr/>
          <w:p>
            <w:pPr>
              <w:pStyle w:val="Compact"/>
            </w:pPr>
            <w:r>
              <w:t xml:space="preserve">0.285 [0.191, 0.424]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Higher recurrence</w:t>
            </w:r>
          </w:p>
        </w:tc>
        <w:tc>
          <w:tcPr/>
          <w:p>
            <w:pPr>
              <w:pStyle w:val="Compact"/>
            </w:pPr>
            <w:r>
              <w:t xml:space="preserve">58 / 59</w:t>
            </w:r>
          </w:p>
        </w:tc>
        <w:tc>
          <w:tcPr/>
          <w:p>
            <w:pPr>
              <w:pStyle w:val="Compact"/>
            </w:pPr>
            <w:r>
              <w:t xml:space="preserve">13.29 [10.50, 17.30]</w:t>
            </w:r>
          </w:p>
        </w:tc>
        <w:tc>
          <w:tcPr/>
          <w:p>
            <w:pPr>
              <w:pStyle w:val="Compact"/>
            </w:pPr>
            <w:r>
              <w:t xml:space="preserve">21.20 [16.28, 27.83]</w:t>
            </w:r>
          </w:p>
        </w:tc>
        <w:tc>
          <w:tcPr/>
          <w:p>
            <w:pPr>
              <w:pStyle w:val="Compact"/>
            </w:pPr>
            <w:r>
              <w:t xml:space="preserve">0.598 [0.412, 0.843]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2026-06-22T20:58:06Z</dcterms:created>
  <dcterms:modified xsi:type="dcterms:W3CDTF">2026-06-22T20:58:06Z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