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D5" w:rsidRPr="0045676F" w:rsidRDefault="00DA61D5" w:rsidP="00DA61D5">
      <w:pPr>
        <w:spacing w:after="0" w:line="240" w:lineRule="auto"/>
        <w:rPr>
          <w:b/>
          <w:sz w:val="24"/>
          <w:szCs w:val="24"/>
        </w:rPr>
      </w:pPr>
      <w:r w:rsidRPr="0045676F">
        <w:rPr>
          <w:b/>
          <w:sz w:val="24"/>
          <w:szCs w:val="24"/>
        </w:rPr>
        <w:t>Calculating the quantity of fish discarded in the Barents Sea shri</w:t>
      </w:r>
      <w:r w:rsidR="00E544A4" w:rsidRPr="0045676F">
        <w:rPr>
          <w:b/>
          <w:sz w:val="24"/>
          <w:szCs w:val="24"/>
        </w:rPr>
        <w:t>mp trawl fishery</w:t>
      </w:r>
    </w:p>
    <w:p w:rsidR="00E544A4" w:rsidRDefault="00E544A4" w:rsidP="00DA61D5">
      <w:pPr>
        <w:spacing w:after="0" w:line="240" w:lineRule="auto"/>
        <w:rPr>
          <w:szCs w:val="20"/>
        </w:rPr>
      </w:pPr>
    </w:p>
    <w:p w:rsidR="00317928" w:rsidRPr="0045676F" w:rsidRDefault="00EC4C91" w:rsidP="00317928">
      <w:pPr>
        <w:spacing w:after="0" w:line="240" w:lineRule="auto"/>
        <w:rPr>
          <w:szCs w:val="20"/>
        </w:rPr>
      </w:pPr>
      <w:r w:rsidRPr="0045676F">
        <w:rPr>
          <w:szCs w:val="20"/>
        </w:rPr>
        <w:t xml:space="preserve">There are various interpretations of the quantities of fish discarded by the Barents Sea shrimp trawl fishery. </w:t>
      </w:r>
      <w:r w:rsidR="0045676F">
        <w:rPr>
          <w:szCs w:val="20"/>
        </w:rPr>
        <w:t xml:space="preserve">First, </w:t>
      </w:r>
      <w:r w:rsidR="00DA61D5" w:rsidRPr="0045676F">
        <w:rPr>
          <w:szCs w:val="20"/>
        </w:rPr>
        <w:t>ICES (2019</w:t>
      </w:r>
      <w:r w:rsidR="00E544A4" w:rsidRPr="0045676F">
        <w:rPr>
          <w:szCs w:val="20"/>
        </w:rPr>
        <w:t>; Figure 0.1</w:t>
      </w:r>
      <w:r w:rsidR="00DA61D5" w:rsidRPr="0045676F">
        <w:rPr>
          <w:szCs w:val="20"/>
        </w:rPr>
        <w:t>) presents graphs of the discard quantity</w:t>
      </w:r>
      <w:r w:rsidR="00317928" w:rsidRPr="0045676F">
        <w:rPr>
          <w:szCs w:val="20"/>
        </w:rPr>
        <w:t xml:space="preserve"> (millions of individuals)</w:t>
      </w:r>
      <w:r w:rsidR="00DA61D5" w:rsidRPr="0045676F">
        <w:rPr>
          <w:szCs w:val="20"/>
        </w:rPr>
        <w:t xml:space="preserve"> of cod, haddock, Greenland Halibut and redfish in the international shrimp trawl fishery in the Barents Sea during 1994-2018.</w:t>
      </w:r>
      <w:r w:rsidR="00E544A4" w:rsidRPr="0045676F">
        <w:rPr>
          <w:szCs w:val="20"/>
        </w:rPr>
        <w:t xml:space="preserve"> These graphs</w:t>
      </w:r>
      <w:r w:rsidR="00317928" w:rsidRPr="0045676F">
        <w:rPr>
          <w:szCs w:val="20"/>
        </w:rPr>
        <w:t>, which</w:t>
      </w:r>
      <w:r w:rsidR="00E544A4" w:rsidRPr="0045676F">
        <w:rPr>
          <w:szCs w:val="20"/>
        </w:rPr>
        <w:t xml:space="preserve"> originate from </w:t>
      </w:r>
      <w:r w:rsidR="00E544A4" w:rsidRPr="0045676F">
        <w:rPr>
          <w:szCs w:val="20"/>
        </w:rPr>
        <w:t>Breivik</w:t>
      </w:r>
      <w:r w:rsidR="00E544A4" w:rsidRPr="0045676F">
        <w:rPr>
          <w:szCs w:val="20"/>
        </w:rPr>
        <w:t xml:space="preserve"> </w:t>
      </w:r>
      <w:r w:rsidR="00E544A4" w:rsidRPr="004D5E2B">
        <w:rPr>
          <w:i/>
          <w:szCs w:val="20"/>
        </w:rPr>
        <w:t>et al</w:t>
      </w:r>
      <w:r w:rsidR="00E544A4" w:rsidRPr="0045676F">
        <w:rPr>
          <w:szCs w:val="20"/>
        </w:rPr>
        <w:t>. (2017)</w:t>
      </w:r>
      <w:r w:rsidR="00317928" w:rsidRPr="0045676F">
        <w:rPr>
          <w:szCs w:val="20"/>
        </w:rPr>
        <w:t>, represent</w:t>
      </w:r>
      <w:r w:rsidR="00317928" w:rsidRPr="0045676F">
        <w:rPr>
          <w:szCs w:val="20"/>
        </w:rPr>
        <w:t xml:space="preserve"> analysis </w:t>
      </w:r>
      <w:r w:rsidR="00317928" w:rsidRPr="0045676F">
        <w:rPr>
          <w:szCs w:val="20"/>
        </w:rPr>
        <w:t>of</w:t>
      </w:r>
      <w:r w:rsidR="00317928" w:rsidRPr="0045676F">
        <w:rPr>
          <w:szCs w:val="20"/>
        </w:rPr>
        <w:t xml:space="preserve"> sampling aboard Norwegian vessels, assuming that these were representative of the international shrimp trawl effort, and </w:t>
      </w:r>
      <w:r w:rsidR="00317928" w:rsidRPr="0045676F">
        <w:rPr>
          <w:szCs w:val="20"/>
        </w:rPr>
        <w:t>an exploration of</w:t>
      </w:r>
      <w:r w:rsidR="00317928" w:rsidRPr="0045676F">
        <w:rPr>
          <w:szCs w:val="20"/>
        </w:rPr>
        <w:t xml:space="preserve"> various </w:t>
      </w:r>
      <w:r w:rsidR="00317928" w:rsidRPr="0045676F">
        <w:rPr>
          <w:szCs w:val="20"/>
        </w:rPr>
        <w:t xml:space="preserve">statistical </w:t>
      </w:r>
      <w:r w:rsidR="00317928" w:rsidRPr="0045676F">
        <w:rPr>
          <w:szCs w:val="20"/>
        </w:rPr>
        <w:t>methods for extrapolating to the international discard quantities.</w:t>
      </w:r>
    </w:p>
    <w:p w:rsidR="00317928" w:rsidRPr="0045676F" w:rsidRDefault="00317928" w:rsidP="00DA61D5">
      <w:pPr>
        <w:spacing w:after="0" w:line="240" w:lineRule="auto"/>
        <w:rPr>
          <w:szCs w:val="20"/>
        </w:rPr>
      </w:pPr>
    </w:p>
    <w:p w:rsidR="00317928" w:rsidRDefault="0045676F" w:rsidP="00317928">
      <w:pPr>
        <w:spacing w:after="0" w:line="240" w:lineRule="auto"/>
        <w:rPr>
          <w:szCs w:val="20"/>
        </w:rPr>
      </w:pPr>
      <w:r>
        <w:rPr>
          <w:szCs w:val="20"/>
        </w:rPr>
        <w:t xml:space="preserve">However ICES </w:t>
      </w:r>
      <w:r w:rsidR="004D5E2B">
        <w:rPr>
          <w:szCs w:val="20"/>
        </w:rPr>
        <w:t>(</w:t>
      </w:r>
      <w:r>
        <w:rPr>
          <w:szCs w:val="20"/>
        </w:rPr>
        <w:t xml:space="preserve">2018; </w:t>
      </w:r>
      <w:r w:rsidR="00317928" w:rsidRPr="0045676F">
        <w:rPr>
          <w:szCs w:val="20"/>
        </w:rPr>
        <w:t>Figure 0.1 and Table 3.26</w:t>
      </w:r>
      <w:r w:rsidR="004D5E2B">
        <w:rPr>
          <w:szCs w:val="20"/>
        </w:rPr>
        <w:t>)</w:t>
      </w:r>
      <w:r w:rsidR="00317928" w:rsidRPr="0045676F">
        <w:rPr>
          <w:szCs w:val="20"/>
        </w:rPr>
        <w:t xml:space="preserve"> </w:t>
      </w:r>
      <w:r w:rsidR="004D5E2B">
        <w:rPr>
          <w:szCs w:val="20"/>
        </w:rPr>
        <w:t>also show interpretations</w:t>
      </w:r>
      <w:r w:rsidR="00317928" w:rsidRPr="0045676F">
        <w:rPr>
          <w:szCs w:val="20"/>
        </w:rPr>
        <w:t xml:space="preserve"> of the quantities of fish discarded in the shrimp trawl fishery, based on unpublished Working Documents by </w:t>
      </w:r>
      <w:proofErr w:type="spellStart"/>
      <w:r w:rsidR="00317928" w:rsidRPr="0045676F">
        <w:rPr>
          <w:color w:val="auto"/>
          <w:szCs w:val="20"/>
          <w:lang w:eastAsia="en-US"/>
        </w:rPr>
        <w:t>Ajiad</w:t>
      </w:r>
      <w:proofErr w:type="spellEnd"/>
      <w:r w:rsidR="00317928" w:rsidRPr="0045676F">
        <w:rPr>
          <w:szCs w:val="20"/>
        </w:rPr>
        <w:t xml:space="preserve"> </w:t>
      </w:r>
      <w:r w:rsidR="00317928" w:rsidRPr="004D5E2B">
        <w:rPr>
          <w:i/>
          <w:szCs w:val="20"/>
        </w:rPr>
        <w:t>et al</w:t>
      </w:r>
      <w:r w:rsidR="00317928" w:rsidRPr="0045676F">
        <w:rPr>
          <w:szCs w:val="20"/>
        </w:rPr>
        <w:t>. (2008). The former</w:t>
      </w:r>
      <w:r w:rsidR="00317928">
        <w:rPr>
          <w:szCs w:val="20"/>
        </w:rPr>
        <w:t xml:space="preserve"> shows discards (numbers) of cod, haddock and redfish</w:t>
      </w:r>
      <w:r w:rsidR="000E6F50">
        <w:rPr>
          <w:szCs w:val="20"/>
        </w:rPr>
        <w:t xml:space="preserve">, while the latter shows numbers ate age of cod. Inexplicably, the estimated total numbers of cod discarded in </w:t>
      </w:r>
      <w:r w:rsidR="000E6F50">
        <w:rPr>
          <w:szCs w:val="20"/>
        </w:rPr>
        <w:t>Figure 0.1 and Table 3.26</w:t>
      </w:r>
      <w:r w:rsidR="000E6F50">
        <w:rPr>
          <w:szCs w:val="20"/>
        </w:rPr>
        <w:t xml:space="preserve"> are highly inconsistent. However, the data in Table 3.26 are </w:t>
      </w:r>
      <w:r w:rsidR="001673A9">
        <w:rPr>
          <w:szCs w:val="20"/>
        </w:rPr>
        <w:t>consistent</w:t>
      </w:r>
      <w:r w:rsidR="000E6F50">
        <w:rPr>
          <w:szCs w:val="20"/>
        </w:rPr>
        <w:t xml:space="preserve"> with the data from </w:t>
      </w:r>
      <w:r w:rsidR="000E6F50" w:rsidRPr="00DA61D5">
        <w:rPr>
          <w:szCs w:val="20"/>
        </w:rPr>
        <w:t>Breivik</w:t>
      </w:r>
      <w:r w:rsidR="000E6F50">
        <w:rPr>
          <w:szCs w:val="20"/>
        </w:rPr>
        <w:t xml:space="preserve"> </w:t>
      </w:r>
      <w:r w:rsidR="000E6F50" w:rsidRPr="004D5E2B">
        <w:rPr>
          <w:i/>
          <w:szCs w:val="20"/>
        </w:rPr>
        <w:t>et al</w:t>
      </w:r>
      <w:r w:rsidR="000E6F50">
        <w:rPr>
          <w:szCs w:val="20"/>
        </w:rPr>
        <w:t>. (2017)</w:t>
      </w:r>
      <w:r w:rsidR="000E6F50">
        <w:rPr>
          <w:szCs w:val="20"/>
        </w:rPr>
        <w:t xml:space="preserve"> in ICES (2019).</w:t>
      </w:r>
    </w:p>
    <w:p w:rsidR="000E6F50" w:rsidRDefault="000E6F50" w:rsidP="00317928">
      <w:pPr>
        <w:spacing w:after="0" w:line="240" w:lineRule="auto"/>
        <w:rPr>
          <w:szCs w:val="20"/>
        </w:rPr>
      </w:pPr>
    </w:p>
    <w:p w:rsidR="00302B1A" w:rsidRDefault="000E6F50" w:rsidP="00317928">
      <w:pPr>
        <w:spacing w:after="0" w:line="240" w:lineRule="auto"/>
        <w:rPr>
          <w:szCs w:val="20"/>
        </w:rPr>
      </w:pPr>
      <w:r>
        <w:rPr>
          <w:szCs w:val="20"/>
        </w:rPr>
        <w:t xml:space="preserve">We accepted the data from </w:t>
      </w:r>
      <w:r w:rsidR="00302B1A">
        <w:rPr>
          <w:szCs w:val="20"/>
        </w:rPr>
        <w:t>ICES</w:t>
      </w:r>
      <w:r>
        <w:rPr>
          <w:szCs w:val="20"/>
        </w:rPr>
        <w:t xml:space="preserve"> </w:t>
      </w:r>
      <w:r w:rsidR="00302B1A">
        <w:rPr>
          <w:szCs w:val="20"/>
        </w:rPr>
        <w:t>(</w:t>
      </w:r>
      <w:r>
        <w:rPr>
          <w:szCs w:val="20"/>
        </w:rPr>
        <w:t>2019</w:t>
      </w:r>
      <w:r w:rsidR="00302B1A">
        <w:rPr>
          <w:szCs w:val="20"/>
        </w:rPr>
        <w:t>)</w:t>
      </w:r>
      <w:r>
        <w:rPr>
          <w:szCs w:val="20"/>
        </w:rPr>
        <w:t xml:space="preserve"> as the best estimate of numbers discarded by the shrimp fishery</w:t>
      </w:r>
      <w:r w:rsidR="0045676F">
        <w:rPr>
          <w:szCs w:val="20"/>
        </w:rPr>
        <w:t xml:space="preserve"> (Figure 1, Table 1)</w:t>
      </w:r>
      <w:r>
        <w:rPr>
          <w:szCs w:val="20"/>
        </w:rPr>
        <w:t xml:space="preserve">. In order to convert to weight discarded we required estimates of the mean weight </w:t>
      </w:r>
      <w:r w:rsidR="00302B1A">
        <w:rPr>
          <w:szCs w:val="20"/>
        </w:rPr>
        <w:t>per individual of each species</w:t>
      </w:r>
      <w:r>
        <w:rPr>
          <w:szCs w:val="20"/>
        </w:rPr>
        <w:t xml:space="preserve">. For cod, we calculated mean weight </w:t>
      </w:r>
      <w:r w:rsidR="00302B1A">
        <w:rPr>
          <w:szCs w:val="20"/>
        </w:rPr>
        <w:t xml:space="preserve">per individual </w:t>
      </w:r>
      <w:r>
        <w:rPr>
          <w:szCs w:val="20"/>
        </w:rPr>
        <w:t xml:space="preserve">from the numbers at age discarded (ICES 2018; </w:t>
      </w:r>
      <w:r w:rsidR="00302B1A">
        <w:rPr>
          <w:szCs w:val="20"/>
        </w:rPr>
        <w:t>Table 3.26) and mean weight at age in</w:t>
      </w:r>
      <w:r w:rsidR="00302B1A">
        <w:rPr>
          <w:szCs w:val="20"/>
        </w:rPr>
        <w:t xml:space="preserve"> the </w:t>
      </w:r>
      <w:r w:rsidR="00302B1A">
        <w:rPr>
          <w:szCs w:val="20"/>
        </w:rPr>
        <w:t xml:space="preserve">wider </w:t>
      </w:r>
      <w:r w:rsidR="00302B1A">
        <w:rPr>
          <w:szCs w:val="20"/>
        </w:rPr>
        <w:t xml:space="preserve">catch of North East Arctic cod </w:t>
      </w:r>
      <w:r w:rsidR="00302B1A">
        <w:rPr>
          <w:szCs w:val="20"/>
        </w:rPr>
        <w:t xml:space="preserve">(ICES 2018; </w:t>
      </w:r>
      <w:r>
        <w:rPr>
          <w:szCs w:val="20"/>
        </w:rPr>
        <w:t>Table 3.</w:t>
      </w:r>
      <w:r w:rsidR="00302B1A">
        <w:rPr>
          <w:szCs w:val="20"/>
        </w:rPr>
        <w:t>8</w:t>
      </w:r>
      <w:r>
        <w:rPr>
          <w:szCs w:val="20"/>
        </w:rPr>
        <w:t xml:space="preserve"> – with some extrapolation to ages 0, 1 and 2). In the absence of any data on with the length or age distribution of </w:t>
      </w:r>
      <w:r w:rsidR="000C3163">
        <w:rPr>
          <w:szCs w:val="20"/>
        </w:rPr>
        <w:t xml:space="preserve">discarded haddock or halibut, we </w:t>
      </w:r>
      <w:r w:rsidR="00AE2369">
        <w:rPr>
          <w:szCs w:val="20"/>
        </w:rPr>
        <w:t xml:space="preserve">were forced to </w:t>
      </w:r>
      <w:proofErr w:type="gramStart"/>
      <w:r w:rsidR="000C3163">
        <w:rPr>
          <w:szCs w:val="20"/>
        </w:rPr>
        <w:t>assumed</w:t>
      </w:r>
      <w:proofErr w:type="gramEnd"/>
      <w:r w:rsidR="000C3163">
        <w:rPr>
          <w:szCs w:val="20"/>
        </w:rPr>
        <w:t xml:space="preserve"> the same mean weight per individual as cod</w:t>
      </w:r>
      <w:r w:rsidR="0045676F">
        <w:rPr>
          <w:szCs w:val="20"/>
        </w:rPr>
        <w:t xml:space="preserve"> (Table 2)</w:t>
      </w:r>
      <w:r w:rsidR="00302B1A">
        <w:rPr>
          <w:szCs w:val="20"/>
        </w:rPr>
        <w:t>.</w:t>
      </w:r>
    </w:p>
    <w:p w:rsidR="00302B1A" w:rsidRDefault="00302B1A" w:rsidP="00317928">
      <w:pPr>
        <w:spacing w:after="0" w:line="240" w:lineRule="auto"/>
        <w:rPr>
          <w:szCs w:val="20"/>
        </w:rPr>
      </w:pPr>
    </w:p>
    <w:p w:rsidR="00302B1A" w:rsidRDefault="00302B1A" w:rsidP="00317928">
      <w:pPr>
        <w:spacing w:after="0" w:line="240" w:lineRule="auto"/>
        <w:rPr>
          <w:szCs w:val="20"/>
        </w:rPr>
      </w:pPr>
      <w:r>
        <w:rPr>
          <w:szCs w:val="20"/>
        </w:rPr>
        <w:t>For redfish discards we first assu</w:t>
      </w:r>
      <w:bookmarkStart w:id="0" w:name="_GoBack"/>
      <w:bookmarkEnd w:id="0"/>
      <w:r>
        <w:rPr>
          <w:szCs w:val="20"/>
        </w:rPr>
        <w:t xml:space="preserve">med that these were mainly </w:t>
      </w:r>
      <w:r w:rsidRPr="00302B1A">
        <w:rPr>
          <w:i/>
          <w:szCs w:val="20"/>
        </w:rPr>
        <w:t xml:space="preserve">Sebastes </w:t>
      </w:r>
      <w:proofErr w:type="spellStart"/>
      <w:r w:rsidRPr="00302B1A">
        <w:rPr>
          <w:i/>
          <w:szCs w:val="20"/>
        </w:rPr>
        <w:t>mentella</w:t>
      </w:r>
      <w:proofErr w:type="spellEnd"/>
      <w:r>
        <w:rPr>
          <w:szCs w:val="20"/>
        </w:rPr>
        <w:t xml:space="preserve">. Again, in the absence of data on age or length distributions of discarded redfish in the shrimp fishery, we estimated the mean weight at age of </w:t>
      </w:r>
      <w:r w:rsidRPr="00302B1A">
        <w:rPr>
          <w:i/>
          <w:szCs w:val="20"/>
        </w:rPr>
        <w:t xml:space="preserve">S. </w:t>
      </w:r>
      <w:proofErr w:type="spellStart"/>
      <w:r w:rsidRPr="00302B1A">
        <w:rPr>
          <w:i/>
          <w:szCs w:val="20"/>
        </w:rPr>
        <w:t>mentella</w:t>
      </w:r>
      <w:proofErr w:type="spellEnd"/>
      <w:r>
        <w:rPr>
          <w:szCs w:val="20"/>
        </w:rPr>
        <w:t xml:space="preserve"> in research vessel trawl hauls during the annual Barents Sea Ecosystem Survey. Numbers at age </w:t>
      </w:r>
      <w:r w:rsidR="00AE2369">
        <w:rPr>
          <w:szCs w:val="20"/>
        </w:rPr>
        <w:t xml:space="preserve">in the survey </w:t>
      </w:r>
      <w:r>
        <w:rPr>
          <w:szCs w:val="20"/>
        </w:rPr>
        <w:t xml:space="preserve">of </w:t>
      </w:r>
      <w:r w:rsidRPr="00E17E2A">
        <w:rPr>
          <w:i/>
          <w:szCs w:val="20"/>
        </w:rPr>
        <w:t xml:space="preserve">S. </w:t>
      </w:r>
      <w:proofErr w:type="spellStart"/>
      <w:r w:rsidRPr="00E17E2A">
        <w:rPr>
          <w:i/>
          <w:szCs w:val="20"/>
        </w:rPr>
        <w:t>mentella</w:t>
      </w:r>
      <w:proofErr w:type="spellEnd"/>
      <w:r>
        <w:rPr>
          <w:szCs w:val="20"/>
        </w:rPr>
        <w:t xml:space="preserve"> were obtained from ICES (2018; Table 6.16b). Mean weight at age from a combination of fishery and survey data was obtained from </w:t>
      </w:r>
      <w:r>
        <w:rPr>
          <w:szCs w:val="20"/>
        </w:rPr>
        <w:t>ICES (2018; Table 6.</w:t>
      </w:r>
      <w:r>
        <w:rPr>
          <w:szCs w:val="20"/>
        </w:rPr>
        <w:t>7).</w:t>
      </w:r>
    </w:p>
    <w:p w:rsidR="0045676F" w:rsidRDefault="0045676F" w:rsidP="00317928">
      <w:pPr>
        <w:spacing w:after="0" w:line="240" w:lineRule="auto"/>
        <w:rPr>
          <w:szCs w:val="20"/>
        </w:rPr>
      </w:pPr>
    </w:p>
    <w:p w:rsidR="0045676F" w:rsidRPr="0045676F" w:rsidRDefault="0045676F" w:rsidP="00317928">
      <w:pPr>
        <w:spacing w:after="0" w:line="240" w:lineRule="auto"/>
        <w:rPr>
          <w:szCs w:val="20"/>
        </w:rPr>
      </w:pPr>
      <w:r>
        <w:rPr>
          <w:szCs w:val="20"/>
        </w:rPr>
        <w:t xml:space="preserve">The product of annual number per species discarded and mean weight be individual </w:t>
      </w:r>
      <w:proofErr w:type="spellStart"/>
      <w:r>
        <w:rPr>
          <w:szCs w:val="20"/>
        </w:rPr>
        <w:t>provices</w:t>
      </w:r>
      <w:proofErr w:type="spellEnd"/>
      <w:r>
        <w:rPr>
          <w:szCs w:val="20"/>
        </w:rPr>
        <w:t xml:space="preserve"> an estimate of total weight discarded (Table 3). The results indicate that averaged over 2011-2018 </w:t>
      </w:r>
      <w:proofErr w:type="spellStart"/>
      <w:r>
        <w:rPr>
          <w:szCs w:val="20"/>
        </w:rPr>
        <w:t>trhe</w:t>
      </w:r>
      <w:proofErr w:type="spellEnd"/>
      <w:r>
        <w:rPr>
          <w:szCs w:val="20"/>
        </w:rPr>
        <w:t xml:space="preserve"> fishery discarded </w:t>
      </w:r>
      <w:r w:rsidRPr="00747777">
        <w:rPr>
          <w:b/>
          <w:bCs/>
          <w:color w:val="000000" w:themeColor="text1"/>
          <w:sz w:val="18"/>
          <w:szCs w:val="18"/>
          <w:lang w:eastAsia="en-US"/>
        </w:rPr>
        <w:t>3867.89</w:t>
      </w:r>
      <w:r>
        <w:rPr>
          <w:b/>
          <w:bCs/>
          <w:color w:val="000000" w:themeColor="text1"/>
          <w:sz w:val="18"/>
          <w:szCs w:val="18"/>
          <w:lang w:eastAsia="en-US"/>
        </w:rPr>
        <w:t xml:space="preserve"> tonnes </w:t>
      </w:r>
      <w:r w:rsidRPr="0045676F">
        <w:rPr>
          <w:bCs/>
          <w:color w:val="000000" w:themeColor="text1"/>
          <w:sz w:val="18"/>
          <w:szCs w:val="18"/>
          <w:lang w:eastAsia="en-US"/>
        </w:rPr>
        <w:t xml:space="preserve">of the </w:t>
      </w:r>
      <w:proofErr w:type="spellStart"/>
      <w:r w:rsidRPr="0045676F">
        <w:rPr>
          <w:bCs/>
          <w:color w:val="000000" w:themeColor="text1"/>
          <w:sz w:val="18"/>
          <w:szCs w:val="18"/>
          <w:lang w:eastAsia="en-US"/>
        </w:rPr>
        <w:t>planktivorous</w:t>
      </w:r>
      <w:proofErr w:type="spellEnd"/>
      <w:r w:rsidRPr="0045676F">
        <w:rPr>
          <w:bCs/>
          <w:color w:val="000000" w:themeColor="text1"/>
          <w:sz w:val="18"/>
          <w:szCs w:val="18"/>
          <w:lang w:eastAsia="en-US"/>
        </w:rPr>
        <w:t xml:space="preserve"> fish guild, and</w:t>
      </w:r>
      <w:r>
        <w:rPr>
          <w:b/>
          <w:bCs/>
          <w:color w:val="000000" w:themeColor="text1"/>
          <w:sz w:val="18"/>
          <w:szCs w:val="18"/>
          <w:lang w:eastAsia="en-US"/>
        </w:rPr>
        <w:t xml:space="preserve"> </w:t>
      </w:r>
      <w:r w:rsidRPr="00747777">
        <w:rPr>
          <w:b/>
          <w:bCs/>
          <w:color w:val="000000" w:themeColor="text1"/>
          <w:sz w:val="18"/>
          <w:szCs w:val="18"/>
          <w:lang w:eastAsia="en-US"/>
        </w:rPr>
        <w:t>1822.57</w:t>
      </w:r>
      <w:r>
        <w:rPr>
          <w:b/>
          <w:bCs/>
          <w:color w:val="000000" w:themeColor="text1"/>
          <w:sz w:val="18"/>
          <w:szCs w:val="18"/>
          <w:lang w:eastAsia="en-US"/>
        </w:rPr>
        <w:t xml:space="preserve"> tonnes </w:t>
      </w:r>
      <w:r w:rsidRPr="0045676F">
        <w:rPr>
          <w:bCs/>
          <w:color w:val="000000" w:themeColor="text1"/>
          <w:sz w:val="18"/>
          <w:szCs w:val="18"/>
          <w:lang w:eastAsia="en-US"/>
        </w:rPr>
        <w:t>of the demersal fish guild.</w:t>
      </w:r>
      <w:r>
        <w:rPr>
          <w:bCs/>
          <w:color w:val="000000" w:themeColor="text1"/>
          <w:sz w:val="18"/>
          <w:szCs w:val="18"/>
          <w:lang w:eastAsia="en-US"/>
        </w:rPr>
        <w:t xml:space="preserve"> Clearly these are minimum estimates of guild discards since it is likely that other undocumented bycatch species are also discarded.</w:t>
      </w:r>
    </w:p>
    <w:p w:rsidR="00AE2369" w:rsidRDefault="00AE2369" w:rsidP="00317928">
      <w:pPr>
        <w:spacing w:after="0" w:line="240" w:lineRule="auto"/>
        <w:rPr>
          <w:szCs w:val="20"/>
        </w:rPr>
      </w:pPr>
    </w:p>
    <w:p w:rsidR="0045676F" w:rsidRPr="0045676F" w:rsidRDefault="0045676F" w:rsidP="0045676F">
      <w:pPr>
        <w:spacing w:after="0" w:line="240" w:lineRule="auto"/>
        <w:rPr>
          <w:b/>
          <w:szCs w:val="20"/>
        </w:rPr>
      </w:pPr>
      <w:r w:rsidRPr="0045676F">
        <w:rPr>
          <w:b/>
          <w:szCs w:val="20"/>
        </w:rPr>
        <w:t>References</w:t>
      </w:r>
    </w:p>
    <w:p w:rsidR="0045676F" w:rsidRPr="00DA61D5" w:rsidRDefault="0045676F" w:rsidP="0045676F">
      <w:pPr>
        <w:spacing w:after="0" w:line="240" w:lineRule="auto"/>
        <w:rPr>
          <w:szCs w:val="20"/>
        </w:rPr>
      </w:pPr>
    </w:p>
    <w:p w:rsidR="0045676F" w:rsidRPr="00317928" w:rsidRDefault="0045676F" w:rsidP="0045676F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r w:rsidRPr="00317928">
        <w:rPr>
          <w:color w:val="auto"/>
          <w:szCs w:val="20"/>
          <w:lang w:eastAsia="en-US"/>
        </w:rPr>
        <w:t>Ajiad</w:t>
      </w:r>
      <w:proofErr w:type="spellEnd"/>
      <w:r w:rsidRPr="00317928">
        <w:rPr>
          <w:color w:val="auto"/>
          <w:szCs w:val="20"/>
          <w:lang w:eastAsia="en-US"/>
        </w:rPr>
        <w:t>, A. M</w:t>
      </w:r>
      <w:proofErr w:type="gramStart"/>
      <w:r w:rsidRPr="00317928">
        <w:rPr>
          <w:color w:val="auto"/>
          <w:szCs w:val="20"/>
          <w:lang w:eastAsia="en-US"/>
        </w:rPr>
        <w:t>. ,</w:t>
      </w:r>
      <w:proofErr w:type="gramEnd"/>
      <w:r w:rsidRPr="00317928">
        <w:rPr>
          <w:color w:val="auto"/>
          <w:szCs w:val="20"/>
          <w:lang w:eastAsia="en-US"/>
        </w:rPr>
        <w:t xml:space="preserve"> </w:t>
      </w:r>
      <w:proofErr w:type="spellStart"/>
      <w:r w:rsidRPr="00317928">
        <w:rPr>
          <w:color w:val="auto"/>
          <w:szCs w:val="20"/>
          <w:lang w:eastAsia="en-US"/>
        </w:rPr>
        <w:t>Aglen</w:t>
      </w:r>
      <w:proofErr w:type="spellEnd"/>
      <w:r w:rsidRPr="00317928">
        <w:rPr>
          <w:color w:val="auto"/>
          <w:szCs w:val="20"/>
          <w:lang w:eastAsia="en-US"/>
        </w:rPr>
        <w:t xml:space="preserve">, A., </w:t>
      </w:r>
      <w:proofErr w:type="spellStart"/>
      <w:r w:rsidRPr="00317928">
        <w:rPr>
          <w:color w:val="auto"/>
          <w:szCs w:val="20"/>
          <w:lang w:eastAsia="en-US"/>
        </w:rPr>
        <w:t>Nedreaas</w:t>
      </w:r>
      <w:proofErr w:type="spellEnd"/>
      <w:r w:rsidRPr="00317928">
        <w:rPr>
          <w:color w:val="auto"/>
          <w:szCs w:val="20"/>
          <w:lang w:eastAsia="en-US"/>
        </w:rPr>
        <w:t xml:space="preserve">, K., and </w:t>
      </w:r>
      <w:proofErr w:type="spellStart"/>
      <w:r w:rsidRPr="00317928">
        <w:rPr>
          <w:color w:val="auto"/>
          <w:szCs w:val="20"/>
          <w:lang w:eastAsia="en-US"/>
        </w:rPr>
        <w:t>Kvamme</w:t>
      </w:r>
      <w:proofErr w:type="spellEnd"/>
      <w:r w:rsidRPr="00317928">
        <w:rPr>
          <w:color w:val="auto"/>
          <w:szCs w:val="20"/>
          <w:lang w:eastAsia="en-US"/>
        </w:rPr>
        <w:t xml:space="preserve">, C. 2008. Estimating by-catch at age of </w:t>
      </w:r>
      <w:proofErr w:type="gramStart"/>
      <w:r w:rsidRPr="00317928">
        <w:rPr>
          <w:color w:val="auto"/>
          <w:szCs w:val="20"/>
          <w:lang w:eastAsia="en-US"/>
        </w:rPr>
        <w:t>Northeast</w:t>
      </w:r>
      <w:proofErr w:type="gramEnd"/>
      <w:r w:rsidRPr="00317928">
        <w:rPr>
          <w:color w:val="auto"/>
          <w:szCs w:val="20"/>
          <w:lang w:eastAsia="en-US"/>
        </w:rPr>
        <w:t xml:space="preserve"> arctic cod from the Norwegian shrimp fishery in the Barents Sea 1984-2006. WD2, ICES. 2008, Report of the Arctic Fisheries Working Group (AFWG),</w:t>
      </w:r>
    </w:p>
    <w:p w:rsidR="0045676F" w:rsidRPr="00317928" w:rsidRDefault="0045676F" w:rsidP="0045676F">
      <w:pPr>
        <w:spacing w:after="0" w:line="240" w:lineRule="auto"/>
        <w:rPr>
          <w:szCs w:val="20"/>
        </w:rPr>
      </w:pPr>
    </w:p>
    <w:p w:rsidR="0045676F" w:rsidRPr="00317928" w:rsidRDefault="0045676F" w:rsidP="0045676F">
      <w:pPr>
        <w:spacing w:after="0" w:line="240" w:lineRule="auto"/>
        <w:rPr>
          <w:szCs w:val="20"/>
        </w:rPr>
      </w:pPr>
      <w:proofErr w:type="gramStart"/>
      <w:r w:rsidRPr="00317928">
        <w:rPr>
          <w:szCs w:val="20"/>
        </w:rPr>
        <w:t xml:space="preserve">Breivik, O.N., </w:t>
      </w:r>
      <w:proofErr w:type="spellStart"/>
      <w:r w:rsidRPr="00317928">
        <w:rPr>
          <w:rFonts w:eastAsia="DCJPM A+ MTSY"/>
          <w:szCs w:val="20"/>
        </w:rPr>
        <w:t>Storvik</w:t>
      </w:r>
      <w:proofErr w:type="spellEnd"/>
      <w:r w:rsidRPr="00317928">
        <w:rPr>
          <w:rFonts w:eastAsia="DCJPM A+ MTSY"/>
          <w:szCs w:val="20"/>
        </w:rPr>
        <w:t xml:space="preserve">, G., &amp; </w:t>
      </w:r>
      <w:proofErr w:type="spellStart"/>
      <w:r w:rsidRPr="00317928">
        <w:rPr>
          <w:rFonts w:eastAsia="DCJPM A+ MTSY"/>
          <w:szCs w:val="20"/>
        </w:rPr>
        <w:t>Nedreaas</w:t>
      </w:r>
      <w:proofErr w:type="spellEnd"/>
      <w:r w:rsidRPr="00317928">
        <w:rPr>
          <w:rFonts w:eastAsia="DCJPM A+ MTSY"/>
          <w:szCs w:val="20"/>
        </w:rPr>
        <w:t>, K. (2017).</w:t>
      </w:r>
      <w:proofErr w:type="gramEnd"/>
      <w:r w:rsidRPr="00317928">
        <w:rPr>
          <w:rFonts w:eastAsia="DCJPM A+ MTSY"/>
          <w:szCs w:val="20"/>
        </w:rPr>
        <w:t xml:space="preserve"> </w:t>
      </w:r>
      <w:r w:rsidRPr="00317928">
        <w:rPr>
          <w:szCs w:val="20"/>
        </w:rPr>
        <w:t>Latent Gaussian models to predict historical bycatch in commercial fishery. Fisheries Research 185, 62-72.</w:t>
      </w:r>
    </w:p>
    <w:p w:rsidR="0045676F" w:rsidRDefault="0045676F" w:rsidP="0045676F">
      <w:pPr>
        <w:autoSpaceDE w:val="0"/>
        <w:autoSpaceDN w:val="0"/>
        <w:adjustRightInd w:val="0"/>
        <w:spacing w:after="0" w:line="240" w:lineRule="auto"/>
        <w:rPr>
          <w:color w:val="auto"/>
          <w:szCs w:val="20"/>
          <w:lang w:eastAsia="en-US"/>
        </w:rPr>
      </w:pPr>
    </w:p>
    <w:p w:rsidR="0045676F" w:rsidRPr="00DA61D5" w:rsidRDefault="0045676F" w:rsidP="0045676F">
      <w:pPr>
        <w:autoSpaceDE w:val="0"/>
        <w:autoSpaceDN w:val="0"/>
        <w:adjustRightInd w:val="0"/>
        <w:spacing w:after="0" w:line="240" w:lineRule="auto"/>
        <w:rPr>
          <w:color w:val="auto"/>
          <w:szCs w:val="20"/>
          <w:lang w:eastAsia="en-US"/>
        </w:rPr>
      </w:pPr>
      <w:proofErr w:type="gramStart"/>
      <w:r w:rsidRPr="00DA61D5">
        <w:rPr>
          <w:color w:val="auto"/>
          <w:szCs w:val="20"/>
          <w:lang w:eastAsia="en-US"/>
        </w:rPr>
        <w:t>ICES.</w:t>
      </w:r>
      <w:proofErr w:type="gramEnd"/>
      <w:r w:rsidRPr="00DA61D5">
        <w:rPr>
          <w:color w:val="auto"/>
          <w:szCs w:val="20"/>
          <w:lang w:eastAsia="en-US"/>
        </w:rPr>
        <w:t xml:space="preserve"> 2018. Report of the Arctic Fisheries Working Group (AFWG), 18–24 April 2018, </w:t>
      </w:r>
      <w:proofErr w:type="spellStart"/>
      <w:r w:rsidRPr="00DA61D5">
        <w:rPr>
          <w:color w:val="auto"/>
          <w:szCs w:val="20"/>
          <w:lang w:eastAsia="en-US"/>
        </w:rPr>
        <w:t>Ispra</w:t>
      </w:r>
      <w:proofErr w:type="spellEnd"/>
      <w:r w:rsidRPr="00DA61D5">
        <w:rPr>
          <w:color w:val="auto"/>
          <w:szCs w:val="20"/>
          <w:lang w:eastAsia="en-US"/>
        </w:rPr>
        <w:t>, Italy. ICES CM 2018/ACOM</w:t>
      </w:r>
      <w:proofErr w:type="gramStart"/>
      <w:r w:rsidRPr="00DA61D5">
        <w:rPr>
          <w:color w:val="auto"/>
          <w:szCs w:val="20"/>
          <w:lang w:eastAsia="en-US"/>
        </w:rPr>
        <w:t>:06</w:t>
      </w:r>
      <w:proofErr w:type="gramEnd"/>
      <w:r w:rsidRPr="00DA61D5">
        <w:rPr>
          <w:color w:val="auto"/>
          <w:szCs w:val="20"/>
          <w:lang w:eastAsia="en-US"/>
        </w:rPr>
        <w:t xml:space="preserve">. </w:t>
      </w:r>
      <w:proofErr w:type="gramStart"/>
      <w:r w:rsidRPr="00DA61D5">
        <w:rPr>
          <w:color w:val="auto"/>
          <w:szCs w:val="20"/>
          <w:lang w:eastAsia="en-US"/>
        </w:rPr>
        <w:t>859 pp.</w:t>
      </w:r>
      <w:proofErr w:type="gramEnd"/>
    </w:p>
    <w:p w:rsidR="0045676F" w:rsidRPr="00DA61D5" w:rsidRDefault="0045676F" w:rsidP="0045676F">
      <w:pPr>
        <w:spacing w:after="0" w:line="240" w:lineRule="auto"/>
        <w:rPr>
          <w:color w:val="auto"/>
          <w:szCs w:val="20"/>
          <w:lang w:eastAsia="en-US"/>
        </w:rPr>
      </w:pPr>
    </w:p>
    <w:p w:rsidR="0045676F" w:rsidRPr="00DA61D5" w:rsidRDefault="0045676F" w:rsidP="0045676F">
      <w:pPr>
        <w:autoSpaceDE w:val="0"/>
        <w:autoSpaceDN w:val="0"/>
        <w:adjustRightInd w:val="0"/>
        <w:spacing w:after="0" w:line="240" w:lineRule="auto"/>
        <w:rPr>
          <w:color w:val="auto"/>
          <w:szCs w:val="20"/>
          <w:lang w:eastAsia="en-US"/>
        </w:rPr>
      </w:pPr>
      <w:proofErr w:type="gramStart"/>
      <w:r w:rsidRPr="00DA61D5">
        <w:rPr>
          <w:color w:val="auto"/>
          <w:szCs w:val="20"/>
          <w:lang w:eastAsia="en-US"/>
        </w:rPr>
        <w:t>ICES.</w:t>
      </w:r>
      <w:proofErr w:type="gramEnd"/>
      <w:r w:rsidRPr="00DA61D5">
        <w:rPr>
          <w:color w:val="auto"/>
          <w:szCs w:val="20"/>
          <w:lang w:eastAsia="en-US"/>
        </w:rPr>
        <w:t xml:space="preserve"> 2019. Arctic Fisheries Working Group (AFWG). ICES Scientific Reports. 1:30. 934 pp. </w:t>
      </w:r>
      <w:hyperlink r:id="rId5" w:history="1">
        <w:r w:rsidRPr="00DA61D5">
          <w:rPr>
            <w:rStyle w:val="Hyperlink"/>
            <w:szCs w:val="20"/>
            <w:lang w:eastAsia="en-US"/>
          </w:rPr>
          <w:t>http://doi.org/10.17895/ices.pub.5292</w:t>
        </w:r>
      </w:hyperlink>
    </w:p>
    <w:p w:rsidR="0045676F" w:rsidRPr="00DA61D5" w:rsidRDefault="0045676F" w:rsidP="0045676F">
      <w:pPr>
        <w:spacing w:after="0" w:line="240" w:lineRule="auto"/>
        <w:rPr>
          <w:color w:val="auto"/>
          <w:szCs w:val="20"/>
          <w:lang w:eastAsia="en-US"/>
        </w:rPr>
      </w:pPr>
    </w:p>
    <w:p w:rsidR="0045676F" w:rsidRPr="00DA61D5" w:rsidRDefault="0045676F" w:rsidP="0045676F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45676F" w:rsidRDefault="0045676F" w:rsidP="0045676F">
      <w:pPr>
        <w:spacing w:after="0" w:line="240" w:lineRule="auto"/>
        <w:rPr>
          <w:rFonts w:ascii="PalatinoLinotype-Roman" w:hAnsi="PalatinoLinotype-Roman" w:cs="PalatinoLinotype-Roman"/>
          <w:color w:val="auto"/>
          <w:szCs w:val="20"/>
          <w:lang w:eastAsia="en-US"/>
        </w:rPr>
      </w:pPr>
    </w:p>
    <w:p w:rsidR="001A5F8C" w:rsidRDefault="001A5F8C" w:rsidP="001A5F8C">
      <w:pPr>
        <w:spacing w:after="0" w:line="240" w:lineRule="auto"/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5E83F578">
            <wp:extent cx="4821313" cy="4694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63" cy="4704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5F8C" w:rsidRDefault="001A5F8C" w:rsidP="00317928">
      <w:pPr>
        <w:spacing w:after="0" w:line="240" w:lineRule="auto"/>
        <w:rPr>
          <w:szCs w:val="20"/>
        </w:rPr>
      </w:pPr>
    </w:p>
    <w:p w:rsidR="001A5F8C" w:rsidRPr="001A5F8C" w:rsidRDefault="001A5F8C" w:rsidP="001A5F8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gramStart"/>
      <w:r w:rsidRPr="0045676F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>Figure 1</w:t>
      </w:r>
      <w:r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>.</w:t>
      </w:r>
      <w:proofErr w:type="gramEnd"/>
      <w:r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Annual bycatch (discards; millions) from the Barents Sea shrimp trawl fishery. </w:t>
      </w:r>
      <w:proofErr w:type="gramStart"/>
      <w:r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>Images from ICES 2019; Figure 0.1 – “</w:t>
      </w:r>
      <w:r w:rsidRPr="001A5F8C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>Estimated bycatch of cod, redfish, haddock, and Greenland Halibut in the Barents Sea shrimp fishery.</w:t>
      </w:r>
      <w:proofErr w:type="gramEnd"/>
      <w:r w:rsidRPr="001A5F8C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Intervals</w:t>
      </w:r>
      <w:r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Pr="001A5F8C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>are 90% confidence intervals</w:t>
      </w:r>
      <w:r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>”</w:t>
      </w:r>
      <w:r w:rsidRPr="001A5F8C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>.</w:t>
      </w:r>
      <w:r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proofErr w:type="gramStart"/>
      <w:r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Original data from </w:t>
      </w:r>
      <w:r w:rsidRPr="00317928">
        <w:rPr>
          <w:rFonts w:ascii="Arial" w:hAnsi="Arial" w:cs="Arial"/>
          <w:sz w:val="20"/>
          <w:szCs w:val="20"/>
        </w:rPr>
        <w:t>Breivik</w:t>
      </w:r>
      <w:r>
        <w:rPr>
          <w:rFonts w:ascii="Arial" w:hAnsi="Arial" w:cs="Arial"/>
          <w:sz w:val="20"/>
          <w:szCs w:val="20"/>
        </w:rPr>
        <w:t xml:space="preserve"> et al. 2017.</w:t>
      </w:r>
      <w:proofErr w:type="gramEnd"/>
    </w:p>
    <w:p w:rsidR="001A5F8C" w:rsidRDefault="001A5F8C" w:rsidP="00317928">
      <w:pPr>
        <w:spacing w:after="0" w:line="240" w:lineRule="auto"/>
        <w:rPr>
          <w:szCs w:val="20"/>
        </w:rPr>
      </w:pPr>
    </w:p>
    <w:p w:rsidR="001A5F8C" w:rsidRDefault="001A5F8C" w:rsidP="00317928">
      <w:pPr>
        <w:spacing w:after="0" w:line="240" w:lineRule="auto"/>
        <w:rPr>
          <w:szCs w:val="20"/>
        </w:rPr>
      </w:pPr>
    </w:p>
    <w:p w:rsidR="0045676F" w:rsidRDefault="0045676F">
      <w:pPr>
        <w:rPr>
          <w:szCs w:val="20"/>
        </w:rPr>
      </w:pPr>
      <w:r>
        <w:rPr>
          <w:szCs w:val="20"/>
        </w:rPr>
        <w:br w:type="page"/>
      </w:r>
    </w:p>
    <w:p w:rsidR="001A5F8C" w:rsidRPr="00747777" w:rsidRDefault="001A5F8C" w:rsidP="00317928">
      <w:pPr>
        <w:spacing w:after="0" w:line="240" w:lineRule="auto"/>
        <w:rPr>
          <w:szCs w:val="20"/>
        </w:rPr>
      </w:pPr>
      <w:proofErr w:type="gramStart"/>
      <w:r w:rsidRPr="0045676F">
        <w:rPr>
          <w:b/>
          <w:szCs w:val="20"/>
        </w:rPr>
        <w:lastRenderedPageBreak/>
        <w:t>Table 1</w:t>
      </w:r>
      <w:r>
        <w:rPr>
          <w:szCs w:val="20"/>
        </w:rPr>
        <w:t>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Annual mean numbers of cod, haddock, halibut and redfish discarded by the Barents Sea shrimp trawl fisher</w:t>
      </w:r>
      <w:r w:rsidR="002D52C6">
        <w:rPr>
          <w:szCs w:val="20"/>
        </w:rPr>
        <w:t>y</w:t>
      </w:r>
      <w:r>
        <w:rPr>
          <w:szCs w:val="20"/>
        </w:rPr>
        <w:t>, digitised from Figure 1.</w:t>
      </w:r>
      <w:proofErr w:type="gramEnd"/>
      <w:r w:rsidR="002D52C6">
        <w:rPr>
          <w:szCs w:val="20"/>
        </w:rPr>
        <w:t xml:space="preserve"> “</w:t>
      </w:r>
      <w:proofErr w:type="spellStart"/>
      <w:proofErr w:type="gramStart"/>
      <w:r w:rsidR="002D52C6">
        <w:rPr>
          <w:szCs w:val="20"/>
        </w:rPr>
        <w:t>nd</w:t>
      </w:r>
      <w:proofErr w:type="spellEnd"/>
      <w:proofErr w:type="gramEnd"/>
      <w:r w:rsidR="002D52C6">
        <w:rPr>
          <w:szCs w:val="20"/>
        </w:rPr>
        <w:t>” indicates no data.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1276"/>
        <w:gridCol w:w="1134"/>
        <w:gridCol w:w="1134"/>
        <w:gridCol w:w="992"/>
      </w:tblGrid>
      <w:tr w:rsidR="00D566FE" w:rsidRPr="00747777" w:rsidTr="00065485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4536" w:type="dxa"/>
            <w:gridSpan w:val="4"/>
          </w:tcPr>
          <w:p w:rsidR="00D566FE" w:rsidRPr="00747777" w:rsidRDefault="00D566FE" w:rsidP="00D566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Numbers discarded (</w:t>
            </w:r>
            <w:r w:rsidRPr="00747777">
              <w:rPr>
                <w:sz w:val="18"/>
                <w:szCs w:val="18"/>
                <w:lang w:eastAsia="en-US"/>
              </w:rPr>
              <w:t>millions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Year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Cod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Haddock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Redfish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Halibut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1994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5.4487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0.3057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17.5439</w:t>
            </w:r>
          </w:p>
        </w:tc>
        <w:tc>
          <w:tcPr>
            <w:tcW w:w="992" w:type="dxa"/>
          </w:tcPr>
          <w:p w:rsidR="00AE2369" w:rsidRPr="00747777" w:rsidRDefault="00D566FE" w:rsidP="00D566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8"/>
                <w:szCs w:val="18"/>
                <w:lang w:eastAsia="en-US"/>
              </w:rPr>
            </w:pPr>
            <w:proofErr w:type="spellStart"/>
            <w:r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D566FE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1995</w:t>
            </w:r>
          </w:p>
        </w:tc>
        <w:tc>
          <w:tcPr>
            <w:tcW w:w="1276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9.6154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0.4586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8.0702</w:t>
            </w:r>
          </w:p>
        </w:tc>
        <w:tc>
          <w:tcPr>
            <w:tcW w:w="992" w:type="dxa"/>
          </w:tcPr>
          <w:p w:rsidR="00D566FE" w:rsidRDefault="00D566FE" w:rsidP="00D566FE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D566FE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1996</w:t>
            </w:r>
          </w:p>
        </w:tc>
        <w:tc>
          <w:tcPr>
            <w:tcW w:w="1276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23.3974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0.6115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17.8947</w:t>
            </w:r>
          </w:p>
        </w:tc>
        <w:tc>
          <w:tcPr>
            <w:tcW w:w="992" w:type="dxa"/>
          </w:tcPr>
          <w:p w:rsidR="00D566FE" w:rsidRDefault="00D566FE" w:rsidP="00D566FE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D566FE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1997</w:t>
            </w:r>
          </w:p>
        </w:tc>
        <w:tc>
          <w:tcPr>
            <w:tcW w:w="1276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12.5000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0.3822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11.5789</w:t>
            </w:r>
          </w:p>
        </w:tc>
        <w:tc>
          <w:tcPr>
            <w:tcW w:w="992" w:type="dxa"/>
          </w:tcPr>
          <w:p w:rsidR="00D566FE" w:rsidRDefault="00D566FE" w:rsidP="00D566FE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D566FE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1998</w:t>
            </w:r>
          </w:p>
        </w:tc>
        <w:tc>
          <w:tcPr>
            <w:tcW w:w="1276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31.7308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0.6115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3.1579</w:t>
            </w:r>
          </w:p>
        </w:tc>
        <w:tc>
          <w:tcPr>
            <w:tcW w:w="992" w:type="dxa"/>
          </w:tcPr>
          <w:p w:rsidR="00D566FE" w:rsidRDefault="00D566FE" w:rsidP="00D566FE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D566FE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1999</w:t>
            </w:r>
          </w:p>
        </w:tc>
        <w:tc>
          <w:tcPr>
            <w:tcW w:w="1276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13.7821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5.1975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3.1579</w:t>
            </w:r>
          </w:p>
        </w:tc>
        <w:tc>
          <w:tcPr>
            <w:tcW w:w="992" w:type="dxa"/>
          </w:tcPr>
          <w:p w:rsidR="00D566FE" w:rsidRDefault="00D566FE" w:rsidP="00D566FE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D566FE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2000</w:t>
            </w:r>
          </w:p>
        </w:tc>
        <w:tc>
          <w:tcPr>
            <w:tcW w:w="1276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3.5256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3.7452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3.5088</w:t>
            </w:r>
          </w:p>
        </w:tc>
        <w:tc>
          <w:tcPr>
            <w:tcW w:w="992" w:type="dxa"/>
          </w:tcPr>
          <w:p w:rsidR="00D566FE" w:rsidRDefault="00D566FE" w:rsidP="00D566FE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D566FE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2001</w:t>
            </w:r>
          </w:p>
        </w:tc>
        <w:tc>
          <w:tcPr>
            <w:tcW w:w="1276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13.7821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2.5223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2.4561</w:t>
            </w:r>
          </w:p>
        </w:tc>
        <w:tc>
          <w:tcPr>
            <w:tcW w:w="992" w:type="dxa"/>
          </w:tcPr>
          <w:p w:rsidR="00D566FE" w:rsidRDefault="00D566FE" w:rsidP="00D566FE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D566FE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2002</w:t>
            </w:r>
          </w:p>
        </w:tc>
        <w:tc>
          <w:tcPr>
            <w:tcW w:w="1276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5.1282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7.3376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2.8070</w:t>
            </w:r>
          </w:p>
        </w:tc>
        <w:tc>
          <w:tcPr>
            <w:tcW w:w="992" w:type="dxa"/>
          </w:tcPr>
          <w:p w:rsidR="00D566FE" w:rsidRDefault="00D566FE" w:rsidP="00D566FE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D566FE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2003</w:t>
            </w:r>
          </w:p>
        </w:tc>
        <w:tc>
          <w:tcPr>
            <w:tcW w:w="1276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5.7692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3.5159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1.0526</w:t>
            </w:r>
          </w:p>
        </w:tc>
        <w:tc>
          <w:tcPr>
            <w:tcW w:w="992" w:type="dxa"/>
          </w:tcPr>
          <w:p w:rsidR="00D566FE" w:rsidRDefault="00D566FE" w:rsidP="00D566FE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D566FE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2004</w:t>
            </w:r>
          </w:p>
        </w:tc>
        <w:tc>
          <w:tcPr>
            <w:tcW w:w="1276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2.8846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2.0637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1.4035</w:t>
            </w:r>
          </w:p>
        </w:tc>
        <w:tc>
          <w:tcPr>
            <w:tcW w:w="992" w:type="dxa"/>
          </w:tcPr>
          <w:p w:rsidR="00D566FE" w:rsidRDefault="00D566FE" w:rsidP="00D566FE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D566FE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2005</w:t>
            </w:r>
          </w:p>
        </w:tc>
        <w:tc>
          <w:tcPr>
            <w:tcW w:w="1276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4.1667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2.5987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1.0526</w:t>
            </w:r>
          </w:p>
        </w:tc>
        <w:tc>
          <w:tcPr>
            <w:tcW w:w="992" w:type="dxa"/>
          </w:tcPr>
          <w:p w:rsidR="00D566FE" w:rsidRDefault="00D566FE" w:rsidP="00D566FE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D566FE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2006</w:t>
            </w:r>
          </w:p>
        </w:tc>
        <w:tc>
          <w:tcPr>
            <w:tcW w:w="1276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3.8462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3.3631</w:t>
            </w:r>
          </w:p>
        </w:tc>
        <w:tc>
          <w:tcPr>
            <w:tcW w:w="1134" w:type="dxa"/>
          </w:tcPr>
          <w:p w:rsidR="00D566FE" w:rsidRPr="00747777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5.2632</w:t>
            </w:r>
          </w:p>
        </w:tc>
        <w:tc>
          <w:tcPr>
            <w:tcW w:w="992" w:type="dxa"/>
          </w:tcPr>
          <w:p w:rsidR="00D566FE" w:rsidRDefault="00D566FE" w:rsidP="00D566FE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2007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2.8846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4.2803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17.1930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2.0055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2008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1.6026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0.4586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12.9825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0.4670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2009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4.8077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0.5350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20.7018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1.0714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2010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3.5256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0.4586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11.2281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0.4670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2011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10.2564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0.4586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12.2807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0.2198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2012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8.0128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0.5350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17.1930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0.2747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2013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6.4103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0.4586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10.5263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0.1923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2014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4.1667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1.1465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4.2105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0.2198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2015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8.3333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1.3758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10.8772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0.2473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1.2821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1.2229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37.5439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0.0824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2017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1.6026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0.8408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20.7018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0.2473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2018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5.4487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1.4522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26.6667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0.2747</w:t>
            </w: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AE2369" w:rsidRPr="00747777" w:rsidTr="00747777">
        <w:tblPrEx>
          <w:tblCellMar>
            <w:top w:w="0" w:type="dxa"/>
            <w:bottom w:w="0" w:type="dxa"/>
          </w:tblCellMar>
        </w:tblPrEx>
        <w:tc>
          <w:tcPr>
            <w:tcW w:w="2298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Mean 2011-2018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5.6891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0.9363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17.5000</w:t>
            </w:r>
          </w:p>
        </w:tc>
        <w:tc>
          <w:tcPr>
            <w:tcW w:w="992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0.2198</w:t>
            </w:r>
          </w:p>
        </w:tc>
      </w:tr>
    </w:tbl>
    <w:p w:rsidR="00AE2369" w:rsidRPr="00747777" w:rsidRDefault="00AE2369" w:rsidP="00317928">
      <w:pPr>
        <w:spacing w:after="0" w:line="240" w:lineRule="auto"/>
        <w:rPr>
          <w:szCs w:val="20"/>
        </w:rPr>
      </w:pPr>
    </w:p>
    <w:p w:rsidR="002D52C6" w:rsidRDefault="002D52C6" w:rsidP="00317928">
      <w:pPr>
        <w:spacing w:after="0" w:line="240" w:lineRule="auto"/>
        <w:rPr>
          <w:szCs w:val="20"/>
        </w:rPr>
      </w:pPr>
    </w:p>
    <w:p w:rsidR="0045676F" w:rsidRDefault="0045676F">
      <w:pPr>
        <w:rPr>
          <w:szCs w:val="20"/>
        </w:rPr>
      </w:pPr>
      <w:r>
        <w:rPr>
          <w:szCs w:val="20"/>
        </w:rPr>
        <w:br w:type="page"/>
      </w:r>
    </w:p>
    <w:p w:rsidR="00302B1A" w:rsidRDefault="002D52C6" w:rsidP="00317928">
      <w:pPr>
        <w:spacing w:after="0" w:line="240" w:lineRule="auto"/>
        <w:rPr>
          <w:szCs w:val="20"/>
        </w:rPr>
      </w:pPr>
      <w:proofErr w:type="gramStart"/>
      <w:r w:rsidRPr="0045676F">
        <w:rPr>
          <w:b/>
          <w:szCs w:val="20"/>
        </w:rPr>
        <w:lastRenderedPageBreak/>
        <w:t>Table</w:t>
      </w:r>
      <w:r w:rsidR="001A5F8C" w:rsidRPr="0045676F">
        <w:rPr>
          <w:b/>
          <w:szCs w:val="20"/>
        </w:rPr>
        <w:t xml:space="preserve"> 2</w:t>
      </w:r>
      <w:r w:rsidR="001A5F8C">
        <w:rPr>
          <w:szCs w:val="20"/>
        </w:rPr>
        <w:t>.</w:t>
      </w:r>
      <w:proofErr w:type="gramEnd"/>
      <w:r w:rsidR="001A5F8C">
        <w:rPr>
          <w:szCs w:val="20"/>
        </w:rPr>
        <w:t xml:space="preserve"> Estimates of annual mean weight per individual for species discarded by the Barents Sea shrimp trawl fishery. Data for cod derived from </w:t>
      </w:r>
      <w:r w:rsidR="001A5F8C">
        <w:rPr>
          <w:szCs w:val="20"/>
        </w:rPr>
        <w:t xml:space="preserve">numbers at age discarded (ICES 2018; Table 3.26) and mean weight at age in the wider catch of North East Arctic cod (ICES 2018; </w:t>
      </w:r>
      <w:r>
        <w:rPr>
          <w:szCs w:val="20"/>
        </w:rPr>
        <w:t>Table 3)</w:t>
      </w:r>
      <w:r w:rsidR="001A5F8C">
        <w:rPr>
          <w:szCs w:val="20"/>
        </w:rPr>
        <w:t>.</w:t>
      </w:r>
      <w:r>
        <w:rPr>
          <w:szCs w:val="20"/>
        </w:rPr>
        <w:t xml:space="preserve"> R</w:t>
      </w:r>
      <w:r>
        <w:rPr>
          <w:szCs w:val="20"/>
        </w:rPr>
        <w:t xml:space="preserve">edfish discards assumed </w:t>
      </w:r>
      <w:r>
        <w:rPr>
          <w:szCs w:val="20"/>
        </w:rPr>
        <w:t>to be</w:t>
      </w:r>
      <w:r>
        <w:rPr>
          <w:szCs w:val="20"/>
        </w:rPr>
        <w:t xml:space="preserve"> </w:t>
      </w:r>
      <w:r w:rsidRPr="00302B1A">
        <w:rPr>
          <w:i/>
          <w:szCs w:val="20"/>
        </w:rPr>
        <w:t xml:space="preserve">Sebastes </w:t>
      </w:r>
      <w:proofErr w:type="spellStart"/>
      <w:r w:rsidRPr="00302B1A">
        <w:rPr>
          <w:i/>
          <w:szCs w:val="20"/>
        </w:rPr>
        <w:t>mentella</w:t>
      </w:r>
      <w:proofErr w:type="spellEnd"/>
      <w:r>
        <w:rPr>
          <w:i/>
          <w:szCs w:val="20"/>
        </w:rPr>
        <w:t xml:space="preserve">, </w:t>
      </w:r>
      <w:r w:rsidRPr="002D52C6">
        <w:rPr>
          <w:szCs w:val="20"/>
        </w:rPr>
        <w:t>with mean weight derived from</w:t>
      </w:r>
      <w:r>
        <w:rPr>
          <w:i/>
          <w:szCs w:val="20"/>
        </w:rPr>
        <w:t xml:space="preserve"> </w:t>
      </w:r>
      <w:r>
        <w:rPr>
          <w:szCs w:val="20"/>
        </w:rPr>
        <w:t>n</w:t>
      </w:r>
      <w:r>
        <w:rPr>
          <w:szCs w:val="20"/>
        </w:rPr>
        <w:t xml:space="preserve">umbers at age in the </w:t>
      </w:r>
      <w:r>
        <w:rPr>
          <w:szCs w:val="20"/>
        </w:rPr>
        <w:t>annual Barents Sea Ecosystem Survey trawl catches</w:t>
      </w:r>
      <w:r>
        <w:rPr>
          <w:szCs w:val="20"/>
        </w:rPr>
        <w:t xml:space="preserve"> (2018; Table 6.16b)</w:t>
      </w:r>
      <w:r>
        <w:rPr>
          <w:szCs w:val="20"/>
        </w:rPr>
        <w:t xml:space="preserve"> and m</w:t>
      </w:r>
      <w:r>
        <w:rPr>
          <w:szCs w:val="20"/>
        </w:rPr>
        <w:t>ean weight at age from ICES (2018; Table 6.7).</w:t>
      </w:r>
      <w:r>
        <w:rPr>
          <w:szCs w:val="20"/>
        </w:rPr>
        <w:t xml:space="preserve"> Mean weigh per individual in discards for haddock and halibut assumed equal to cod.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1276"/>
        <w:gridCol w:w="1134"/>
        <w:gridCol w:w="1276"/>
        <w:gridCol w:w="1275"/>
      </w:tblGrid>
      <w:tr w:rsidR="00AE2369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4961" w:type="dxa"/>
            <w:gridSpan w:val="4"/>
          </w:tcPr>
          <w:p w:rsidR="00AE2369" w:rsidRPr="00747777" w:rsidRDefault="00AA4818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Mean weight per individual (kg) in discards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Year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Cod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Haddock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Redfish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Halibut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1994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0.284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0.284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0.175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0.284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1995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0.245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0.245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0.148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0.245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0.287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0.287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0.165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0.287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1997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0.253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0.253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0.239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0.253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1998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0.264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0.264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0.191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0.264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1999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0.226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0.226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0.246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0.226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2000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0.307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0.307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0.252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0.307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2001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0.250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0.250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0.265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0.250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2002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0.364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0.364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0.283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0.364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2003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0.213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0.213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0.370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0.213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2004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0.252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0.252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0.322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0.252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2005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0.280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0.280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0.390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0.280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0.236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0.236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0.372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0.236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2007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0.128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2008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0.107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2009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0.142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2010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0.131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2011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0.100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2012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0.224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2013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0.226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2014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0.231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2015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0.234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0.234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2017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0.236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2018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0.236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AA4818" w:rsidRPr="00747777" w:rsidTr="00AA4818">
        <w:tblPrEx>
          <w:tblCellMar>
            <w:top w:w="0" w:type="dxa"/>
            <w:bottom w:w="0" w:type="dxa"/>
          </w:tblCellMar>
        </w:tblPrEx>
        <w:tc>
          <w:tcPr>
            <w:tcW w:w="1873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Mean 2011-2018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134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  <w:tc>
          <w:tcPr>
            <w:tcW w:w="1276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0.215</w:t>
            </w:r>
          </w:p>
        </w:tc>
        <w:tc>
          <w:tcPr>
            <w:tcW w:w="1275" w:type="dxa"/>
          </w:tcPr>
          <w:p w:rsidR="00AE2369" w:rsidRPr="00747777" w:rsidRDefault="00AE236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0.266</w:t>
            </w:r>
          </w:p>
        </w:tc>
      </w:tr>
    </w:tbl>
    <w:p w:rsidR="00AA4818" w:rsidRDefault="00AA4818" w:rsidP="00317928">
      <w:pPr>
        <w:spacing w:after="0" w:line="240" w:lineRule="auto"/>
        <w:rPr>
          <w:szCs w:val="20"/>
        </w:rPr>
      </w:pPr>
    </w:p>
    <w:p w:rsidR="00AA4818" w:rsidRDefault="00AA4818">
      <w:pPr>
        <w:rPr>
          <w:szCs w:val="20"/>
        </w:rPr>
      </w:pPr>
      <w:r>
        <w:rPr>
          <w:szCs w:val="20"/>
        </w:rPr>
        <w:br w:type="page"/>
      </w:r>
    </w:p>
    <w:p w:rsidR="00302B1A" w:rsidRPr="00747777" w:rsidRDefault="002D52C6" w:rsidP="00317928">
      <w:pPr>
        <w:spacing w:after="0" w:line="240" w:lineRule="auto"/>
        <w:rPr>
          <w:szCs w:val="20"/>
        </w:rPr>
      </w:pPr>
      <w:proofErr w:type="gramStart"/>
      <w:r w:rsidRPr="0045676F">
        <w:rPr>
          <w:b/>
          <w:szCs w:val="20"/>
        </w:rPr>
        <w:lastRenderedPageBreak/>
        <w:t>Table 3</w:t>
      </w:r>
      <w:r>
        <w:rPr>
          <w:szCs w:val="20"/>
        </w:rPr>
        <w:t>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Total annual weight (tonnes) of species and guilds discarded by the Barents Sea shrimp trawl fishery.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Species weights derived by the product of Tables 1 and 2.</w:t>
      </w:r>
      <w:proofErr w:type="gramEnd"/>
      <w:r>
        <w:rPr>
          <w:szCs w:val="20"/>
        </w:rPr>
        <w:t xml:space="preserve"> “</w:t>
      </w:r>
      <w:proofErr w:type="spellStart"/>
      <w:proofErr w:type="gramStart"/>
      <w:r>
        <w:rPr>
          <w:szCs w:val="20"/>
        </w:rPr>
        <w:t>nd</w:t>
      </w:r>
      <w:proofErr w:type="spellEnd"/>
      <w:proofErr w:type="gramEnd"/>
      <w:r>
        <w:rPr>
          <w:szCs w:val="20"/>
        </w:rPr>
        <w:t xml:space="preserve">” indicates no data. </w:t>
      </w:r>
      <w:proofErr w:type="spellStart"/>
      <w:r>
        <w:rPr>
          <w:szCs w:val="20"/>
        </w:rPr>
        <w:t>Guoild</w:t>
      </w:r>
      <w:proofErr w:type="spellEnd"/>
      <w:r>
        <w:rPr>
          <w:szCs w:val="20"/>
        </w:rPr>
        <w:t xml:space="preserve"> discarded weights: </w:t>
      </w:r>
      <w:proofErr w:type="spellStart"/>
      <w:r>
        <w:rPr>
          <w:szCs w:val="20"/>
        </w:rPr>
        <w:t>planktivorous</w:t>
      </w:r>
      <w:proofErr w:type="spellEnd"/>
      <w:r>
        <w:rPr>
          <w:szCs w:val="20"/>
        </w:rPr>
        <w:t xml:space="preserve"> fish = redfish; demersal fish = cod + haddock + halibut. </w:t>
      </w:r>
      <w:proofErr w:type="gramStart"/>
      <w:r>
        <w:rPr>
          <w:szCs w:val="20"/>
        </w:rPr>
        <w:t>Demersal fish weights in brackets</w:t>
      </w:r>
      <w:r w:rsidR="0045676F">
        <w:rPr>
          <w:szCs w:val="20"/>
        </w:rPr>
        <w:t xml:space="preserve"> – partial estimates lacking data on halibut.</w:t>
      </w:r>
      <w:proofErr w:type="gramEnd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992"/>
        <w:gridCol w:w="992"/>
        <w:gridCol w:w="992"/>
        <w:gridCol w:w="993"/>
        <w:gridCol w:w="1842"/>
        <w:gridCol w:w="1701"/>
      </w:tblGrid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9" w:type="dxa"/>
            <w:gridSpan w:val="4"/>
          </w:tcPr>
          <w:p w:rsidR="00D566FE" w:rsidRPr="00747777" w:rsidRDefault="00D566FE" w:rsidP="00D566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Species total weight discarded (tonnes)</w:t>
            </w:r>
          </w:p>
        </w:tc>
        <w:tc>
          <w:tcPr>
            <w:tcW w:w="3543" w:type="dxa"/>
            <w:gridSpan w:val="2"/>
          </w:tcPr>
          <w:p w:rsidR="00D566FE" w:rsidRPr="00747777" w:rsidRDefault="00D566FE" w:rsidP="00D566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Guild total weight discarded (tonnes)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Year</w:t>
            </w:r>
          </w:p>
        </w:tc>
        <w:tc>
          <w:tcPr>
            <w:tcW w:w="992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Cod</w:t>
            </w:r>
          </w:p>
        </w:tc>
        <w:tc>
          <w:tcPr>
            <w:tcW w:w="992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Haddock</w:t>
            </w:r>
          </w:p>
        </w:tc>
        <w:tc>
          <w:tcPr>
            <w:tcW w:w="992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Redfish</w:t>
            </w:r>
          </w:p>
        </w:tc>
        <w:tc>
          <w:tcPr>
            <w:tcW w:w="993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Halibut</w:t>
            </w:r>
          </w:p>
        </w:tc>
        <w:tc>
          <w:tcPr>
            <w:tcW w:w="1842" w:type="dxa"/>
          </w:tcPr>
          <w:p w:rsidR="00AE2369" w:rsidRPr="00747777" w:rsidRDefault="00AA4818" w:rsidP="00747777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proofErr w:type="spellStart"/>
            <w:r>
              <w:rPr>
                <w:sz w:val="18"/>
                <w:szCs w:val="18"/>
                <w:lang w:eastAsia="en-US"/>
              </w:rPr>
              <w:t>Planktivorous</w:t>
            </w:r>
            <w:proofErr w:type="spellEnd"/>
            <w:r>
              <w:rPr>
                <w:sz w:val="18"/>
                <w:szCs w:val="18"/>
                <w:lang w:eastAsia="en-US"/>
              </w:rPr>
              <w:t xml:space="preserve"> fish</w:t>
            </w:r>
          </w:p>
        </w:tc>
        <w:tc>
          <w:tcPr>
            <w:tcW w:w="1701" w:type="dxa"/>
          </w:tcPr>
          <w:p w:rsidR="00AE2369" w:rsidRPr="00747777" w:rsidRDefault="00AA4818" w:rsidP="00AA4818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Demersal fish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1994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1544.90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86.69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3068.61</w:t>
            </w:r>
          </w:p>
        </w:tc>
        <w:tc>
          <w:tcPr>
            <w:tcW w:w="993" w:type="dxa"/>
            <w:shd w:val="clear" w:color="auto" w:fill="auto"/>
          </w:tcPr>
          <w:p w:rsidR="00D566FE" w:rsidRPr="00747777" w:rsidRDefault="00D566FE" w:rsidP="00EF08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8"/>
                <w:szCs w:val="18"/>
                <w:lang w:eastAsia="en-US"/>
              </w:rPr>
            </w:pPr>
            <w:proofErr w:type="spellStart"/>
            <w:r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3068.61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1631.59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1995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2353.39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112.24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1192.03</w:t>
            </w:r>
          </w:p>
        </w:tc>
        <w:tc>
          <w:tcPr>
            <w:tcW w:w="993" w:type="dxa"/>
            <w:shd w:val="clear" w:color="auto" w:fill="auto"/>
          </w:tcPr>
          <w:p w:rsidR="00D566FE" w:rsidRDefault="00D566FE" w:rsidP="00EF08AF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1192.03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2465.64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1996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6724.64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175.74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2952.90</w:t>
            </w:r>
          </w:p>
        </w:tc>
        <w:tc>
          <w:tcPr>
            <w:tcW w:w="993" w:type="dxa"/>
            <w:shd w:val="clear" w:color="auto" w:fill="auto"/>
          </w:tcPr>
          <w:p w:rsidR="00D566FE" w:rsidRDefault="00D566FE" w:rsidP="00EF08AF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2952.90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6900.38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1997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3165.39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96.78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2770.10</w:t>
            </w:r>
          </w:p>
        </w:tc>
        <w:tc>
          <w:tcPr>
            <w:tcW w:w="993" w:type="dxa"/>
            <w:shd w:val="clear" w:color="auto" w:fill="auto"/>
          </w:tcPr>
          <w:p w:rsidR="00D566FE" w:rsidRDefault="00D566FE" w:rsidP="00EF08AF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2770.10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3262.17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1998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8380.41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161.49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604.71</w:t>
            </w:r>
          </w:p>
        </w:tc>
        <w:tc>
          <w:tcPr>
            <w:tcW w:w="993" w:type="dxa"/>
            <w:shd w:val="clear" w:color="auto" w:fill="auto"/>
          </w:tcPr>
          <w:p w:rsidR="00D566FE" w:rsidRDefault="00D566FE" w:rsidP="00EF08AF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604.71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8541.90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1999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3111.16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1173.27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775.94</w:t>
            </w:r>
          </w:p>
        </w:tc>
        <w:tc>
          <w:tcPr>
            <w:tcW w:w="993" w:type="dxa"/>
            <w:shd w:val="clear" w:color="auto" w:fill="auto"/>
          </w:tcPr>
          <w:p w:rsidR="00D566FE" w:rsidRDefault="00D566FE" w:rsidP="00EF08AF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775.94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4284.43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2000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1083.79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1151.29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884.43</w:t>
            </w:r>
          </w:p>
        </w:tc>
        <w:tc>
          <w:tcPr>
            <w:tcW w:w="993" w:type="dxa"/>
            <w:shd w:val="clear" w:color="auto" w:fill="auto"/>
          </w:tcPr>
          <w:p w:rsidR="00D566FE" w:rsidRDefault="00D566FE" w:rsidP="00EF08AF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884.43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2235.08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2001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3440.86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629.72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650.05</w:t>
            </w:r>
          </w:p>
        </w:tc>
        <w:tc>
          <w:tcPr>
            <w:tcW w:w="993" w:type="dxa"/>
            <w:shd w:val="clear" w:color="auto" w:fill="auto"/>
          </w:tcPr>
          <w:p w:rsidR="00D566FE" w:rsidRDefault="00D566FE" w:rsidP="00EF08AF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650.05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4070.58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2002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1869.01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2674.23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793.92</w:t>
            </w:r>
          </w:p>
        </w:tc>
        <w:tc>
          <w:tcPr>
            <w:tcW w:w="993" w:type="dxa"/>
            <w:shd w:val="clear" w:color="auto" w:fill="auto"/>
          </w:tcPr>
          <w:p w:rsidR="00D566FE" w:rsidRDefault="00D566FE" w:rsidP="00EF08AF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793.92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4543.25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2003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1228.41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748.62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389.32</w:t>
            </w:r>
          </w:p>
        </w:tc>
        <w:tc>
          <w:tcPr>
            <w:tcW w:w="993" w:type="dxa"/>
            <w:shd w:val="clear" w:color="auto" w:fill="auto"/>
          </w:tcPr>
          <w:p w:rsidR="00D566FE" w:rsidRDefault="00D566FE" w:rsidP="00EF08AF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389.32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1977.03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2004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727.46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520.44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452.07</w:t>
            </w:r>
          </w:p>
        </w:tc>
        <w:tc>
          <w:tcPr>
            <w:tcW w:w="993" w:type="dxa"/>
            <w:shd w:val="clear" w:color="auto" w:fill="auto"/>
          </w:tcPr>
          <w:p w:rsidR="00D566FE" w:rsidRDefault="00D566FE" w:rsidP="00EF08AF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452.07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1247.90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2005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1164.61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726.36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410.76</w:t>
            </w:r>
          </w:p>
        </w:tc>
        <w:tc>
          <w:tcPr>
            <w:tcW w:w="993" w:type="dxa"/>
            <w:shd w:val="clear" w:color="auto" w:fill="auto"/>
          </w:tcPr>
          <w:p w:rsidR="00D566FE" w:rsidRDefault="00D566FE" w:rsidP="00EF08AF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410.76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1890.97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D566FE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2006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909.24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795.04</w:t>
            </w:r>
          </w:p>
        </w:tc>
        <w:tc>
          <w:tcPr>
            <w:tcW w:w="99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1955.84</w:t>
            </w:r>
          </w:p>
        </w:tc>
        <w:tc>
          <w:tcPr>
            <w:tcW w:w="993" w:type="dxa"/>
            <w:shd w:val="clear" w:color="auto" w:fill="auto"/>
          </w:tcPr>
          <w:p w:rsidR="00D566FE" w:rsidRDefault="00D566FE" w:rsidP="00EF08AF">
            <w:pPr>
              <w:spacing w:after="0" w:line="240" w:lineRule="auto"/>
              <w:jc w:val="center"/>
            </w:pPr>
            <w:proofErr w:type="spellStart"/>
            <w:r w:rsidRPr="00A5561F">
              <w:rPr>
                <w:sz w:val="18"/>
                <w:szCs w:val="18"/>
                <w:lang w:eastAsia="en-US"/>
              </w:rPr>
              <w:t>nd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566FE" w:rsidRPr="00747777" w:rsidRDefault="00D566FE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1955.84</w:t>
            </w:r>
          </w:p>
        </w:tc>
        <w:tc>
          <w:tcPr>
            <w:tcW w:w="1701" w:type="dxa"/>
            <w:shd w:val="clear" w:color="auto" w:fill="auto"/>
          </w:tcPr>
          <w:p w:rsidR="00D566FE" w:rsidRPr="00D566FE" w:rsidRDefault="00D566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r w:rsidRPr="00D566FE">
              <w:rPr>
                <w:sz w:val="18"/>
                <w:szCs w:val="18"/>
                <w:lang w:eastAsia="en-US"/>
              </w:rPr>
              <w:t>1704.28</w:t>
            </w:r>
            <w:r>
              <w:rPr>
                <w:sz w:val="18"/>
                <w:szCs w:val="18"/>
                <w:lang w:eastAsia="en-US"/>
              </w:rPr>
              <w:t>)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2007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768.04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1139.64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2199.80</w:t>
            </w:r>
          </w:p>
        </w:tc>
        <w:tc>
          <w:tcPr>
            <w:tcW w:w="993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533.97</w:t>
            </w:r>
          </w:p>
        </w:tc>
        <w:tc>
          <w:tcPr>
            <w:tcW w:w="184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2199.80</w:t>
            </w:r>
          </w:p>
        </w:tc>
        <w:tc>
          <w:tcPr>
            <w:tcW w:w="1701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2441.66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2008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426.69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122.10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1384.59</w:t>
            </w:r>
          </w:p>
        </w:tc>
        <w:tc>
          <w:tcPr>
            <w:tcW w:w="993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124.35</w:t>
            </w:r>
          </w:p>
        </w:tc>
        <w:tc>
          <w:tcPr>
            <w:tcW w:w="184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1384.59</w:t>
            </w:r>
          </w:p>
        </w:tc>
        <w:tc>
          <w:tcPr>
            <w:tcW w:w="1701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673.15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2009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1280.07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142.46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2931.86</w:t>
            </w:r>
          </w:p>
        </w:tc>
        <w:tc>
          <w:tcPr>
            <w:tcW w:w="993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285.27</w:t>
            </w:r>
          </w:p>
        </w:tc>
        <w:tc>
          <w:tcPr>
            <w:tcW w:w="184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2931.86</w:t>
            </w:r>
          </w:p>
        </w:tc>
        <w:tc>
          <w:tcPr>
            <w:tcW w:w="1701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1707.80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2010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938.72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122.10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1470.98</w:t>
            </w:r>
          </w:p>
        </w:tc>
        <w:tc>
          <w:tcPr>
            <w:tcW w:w="993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124.35</w:t>
            </w:r>
          </w:p>
        </w:tc>
        <w:tc>
          <w:tcPr>
            <w:tcW w:w="184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1470.98</w:t>
            </w:r>
          </w:p>
        </w:tc>
        <w:tc>
          <w:tcPr>
            <w:tcW w:w="1701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1185.18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2011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2730.82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122.10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1227.08</w:t>
            </w:r>
          </w:p>
        </w:tc>
        <w:tc>
          <w:tcPr>
            <w:tcW w:w="993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58.52</w:t>
            </w:r>
          </w:p>
        </w:tc>
        <w:tc>
          <w:tcPr>
            <w:tcW w:w="184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1227.08</w:t>
            </w:r>
          </w:p>
        </w:tc>
        <w:tc>
          <w:tcPr>
            <w:tcW w:w="1701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2911.45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2012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2133.46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142.46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3844.13</w:t>
            </w:r>
          </w:p>
        </w:tc>
        <w:tc>
          <w:tcPr>
            <w:tcW w:w="993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73.15</w:t>
            </w:r>
          </w:p>
        </w:tc>
        <w:tc>
          <w:tcPr>
            <w:tcW w:w="184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3844.13</w:t>
            </w:r>
          </w:p>
        </w:tc>
        <w:tc>
          <w:tcPr>
            <w:tcW w:w="1701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2349.06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2013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1706.77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122.10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2382.02</w:t>
            </w:r>
          </w:p>
        </w:tc>
        <w:tc>
          <w:tcPr>
            <w:tcW w:w="993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51.20</w:t>
            </w:r>
          </w:p>
        </w:tc>
        <w:tc>
          <w:tcPr>
            <w:tcW w:w="184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2382.02</w:t>
            </w:r>
          </w:p>
        </w:tc>
        <w:tc>
          <w:tcPr>
            <w:tcW w:w="1701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1880.07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2014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1109.40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305.26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971.19</w:t>
            </w:r>
          </w:p>
        </w:tc>
        <w:tc>
          <w:tcPr>
            <w:tcW w:w="993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58.52</w:t>
            </w:r>
          </w:p>
        </w:tc>
        <w:tc>
          <w:tcPr>
            <w:tcW w:w="184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971.19</w:t>
            </w:r>
          </w:p>
        </w:tc>
        <w:tc>
          <w:tcPr>
            <w:tcW w:w="1701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1473.18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2015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2218.80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366.31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2548.57</w:t>
            </w:r>
          </w:p>
        </w:tc>
        <w:tc>
          <w:tcPr>
            <w:tcW w:w="993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65.83</w:t>
            </w:r>
          </w:p>
        </w:tc>
        <w:tc>
          <w:tcPr>
            <w:tcW w:w="184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2548.57</w:t>
            </w:r>
          </w:p>
        </w:tc>
        <w:tc>
          <w:tcPr>
            <w:tcW w:w="1701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2650.94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2016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341.35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325.61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8786.39</w:t>
            </w:r>
          </w:p>
        </w:tc>
        <w:tc>
          <w:tcPr>
            <w:tcW w:w="993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21.94</w:t>
            </w:r>
          </w:p>
        </w:tc>
        <w:tc>
          <w:tcPr>
            <w:tcW w:w="184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8786.39</w:t>
            </w:r>
          </w:p>
        </w:tc>
        <w:tc>
          <w:tcPr>
            <w:tcW w:w="1701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688.91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2017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426.69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223.86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4893.76</w:t>
            </w:r>
          </w:p>
        </w:tc>
        <w:tc>
          <w:tcPr>
            <w:tcW w:w="993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65.83</w:t>
            </w:r>
          </w:p>
        </w:tc>
        <w:tc>
          <w:tcPr>
            <w:tcW w:w="184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4893.76</w:t>
            </w:r>
          </w:p>
        </w:tc>
        <w:tc>
          <w:tcPr>
            <w:tcW w:w="1701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716.38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2018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1450.75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386.66</w:t>
            </w:r>
          </w:p>
        </w:tc>
        <w:tc>
          <w:tcPr>
            <w:tcW w:w="99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6290.01</w:t>
            </w:r>
          </w:p>
        </w:tc>
        <w:tc>
          <w:tcPr>
            <w:tcW w:w="993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73.15</w:t>
            </w:r>
          </w:p>
        </w:tc>
        <w:tc>
          <w:tcPr>
            <w:tcW w:w="1842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6290.01</w:t>
            </w:r>
          </w:p>
        </w:tc>
        <w:tc>
          <w:tcPr>
            <w:tcW w:w="1701" w:type="dxa"/>
            <w:shd w:val="clear" w:color="auto" w:fill="auto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1910.56</w:t>
            </w: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842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747777" w:rsidRPr="00747777" w:rsidTr="00D566FE">
        <w:tblPrEx>
          <w:tblCellMar>
            <w:top w:w="0" w:type="dxa"/>
            <w:bottom w:w="0" w:type="dxa"/>
          </w:tblCellMar>
        </w:tblPrEx>
        <w:tc>
          <w:tcPr>
            <w:tcW w:w="1590" w:type="dxa"/>
          </w:tcPr>
          <w:p w:rsidR="00AE2369" w:rsidRPr="00747777" w:rsidRDefault="00747777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Mean 2011-2018</w:t>
            </w:r>
          </w:p>
        </w:tc>
        <w:tc>
          <w:tcPr>
            <w:tcW w:w="992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1514.75</w:t>
            </w:r>
          </w:p>
        </w:tc>
        <w:tc>
          <w:tcPr>
            <w:tcW w:w="992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249.30</w:t>
            </w:r>
          </w:p>
        </w:tc>
        <w:tc>
          <w:tcPr>
            <w:tcW w:w="992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3867.89</w:t>
            </w:r>
          </w:p>
        </w:tc>
        <w:tc>
          <w:tcPr>
            <w:tcW w:w="993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747777">
              <w:rPr>
                <w:sz w:val="18"/>
                <w:szCs w:val="18"/>
                <w:lang w:eastAsia="en-US"/>
              </w:rPr>
              <w:t>58.52</w:t>
            </w:r>
          </w:p>
        </w:tc>
        <w:tc>
          <w:tcPr>
            <w:tcW w:w="1842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747777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3867.89</w:t>
            </w:r>
          </w:p>
        </w:tc>
        <w:tc>
          <w:tcPr>
            <w:tcW w:w="1701" w:type="dxa"/>
          </w:tcPr>
          <w:p w:rsidR="00AE2369" w:rsidRPr="00747777" w:rsidRDefault="00AE2369" w:rsidP="0074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747777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1822.57</w:t>
            </w:r>
          </w:p>
        </w:tc>
      </w:tr>
    </w:tbl>
    <w:p w:rsidR="00AE2369" w:rsidRPr="00747777" w:rsidRDefault="00AE2369" w:rsidP="00317928">
      <w:pPr>
        <w:spacing w:after="0" w:line="240" w:lineRule="auto"/>
        <w:rPr>
          <w:szCs w:val="20"/>
        </w:rPr>
      </w:pPr>
    </w:p>
    <w:p w:rsidR="00AE2369" w:rsidRPr="00747777" w:rsidRDefault="00AE2369" w:rsidP="00317928">
      <w:pPr>
        <w:spacing w:after="0" w:line="240" w:lineRule="auto"/>
        <w:rPr>
          <w:szCs w:val="20"/>
        </w:rPr>
      </w:pPr>
    </w:p>
    <w:p w:rsidR="00AE2369" w:rsidRPr="00747777" w:rsidRDefault="00AE2369" w:rsidP="00317928">
      <w:pPr>
        <w:spacing w:after="0" w:line="240" w:lineRule="auto"/>
        <w:rPr>
          <w:szCs w:val="20"/>
        </w:rPr>
      </w:pPr>
    </w:p>
    <w:p w:rsidR="00AE2369" w:rsidRPr="00747777" w:rsidRDefault="00AE2369" w:rsidP="00317928">
      <w:pPr>
        <w:spacing w:after="0" w:line="240" w:lineRule="auto"/>
        <w:rPr>
          <w:szCs w:val="20"/>
        </w:rPr>
      </w:pPr>
    </w:p>
    <w:sectPr w:rsidR="00AE2369" w:rsidRPr="0074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CJPM A+ MTSY">
    <w:altName w:val="Arial Unicode MS"/>
    <w:panose1 w:val="00000000000000000000"/>
    <w:charset w:val="81"/>
    <w:family w:val="swiss"/>
    <w:notTrueType/>
    <w:pitch w:val="default"/>
    <w:sig w:usb0="00000000" w:usb1="09060000" w:usb2="00000010" w:usb3="00000000" w:csb0="00080000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1D5"/>
    <w:rsid w:val="000C3163"/>
    <w:rsid w:val="000E6F50"/>
    <w:rsid w:val="001673A9"/>
    <w:rsid w:val="0017102E"/>
    <w:rsid w:val="001A5F8C"/>
    <w:rsid w:val="0026743B"/>
    <w:rsid w:val="002D52C6"/>
    <w:rsid w:val="00302B1A"/>
    <w:rsid w:val="00317928"/>
    <w:rsid w:val="0045676F"/>
    <w:rsid w:val="004D5E2B"/>
    <w:rsid w:val="00747777"/>
    <w:rsid w:val="007B1044"/>
    <w:rsid w:val="00AA4818"/>
    <w:rsid w:val="00AE2369"/>
    <w:rsid w:val="00D566FE"/>
    <w:rsid w:val="00DA61D5"/>
    <w:rsid w:val="00E17E2A"/>
    <w:rsid w:val="00E544A4"/>
    <w:rsid w:val="00E5490C"/>
    <w:rsid w:val="00EC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NewRomanPSMT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1D5"/>
    <w:rPr>
      <w:color w:val="0000FF" w:themeColor="hyperlink"/>
      <w:u w:val="single"/>
    </w:rPr>
  </w:style>
  <w:style w:type="paragraph" w:customStyle="1" w:styleId="Default">
    <w:name w:val="Default"/>
    <w:rsid w:val="00DA61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8C"/>
    <w:rPr>
      <w:rFonts w:ascii="Tahoma" w:hAnsi="Tahoma" w:cs="Tahoma"/>
      <w:color w:val="000000"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5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NewRomanPSMT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1D5"/>
    <w:rPr>
      <w:color w:val="0000FF" w:themeColor="hyperlink"/>
      <w:u w:val="single"/>
    </w:rPr>
  </w:style>
  <w:style w:type="paragraph" w:customStyle="1" w:styleId="Default">
    <w:name w:val="Default"/>
    <w:rsid w:val="00DA61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8C"/>
    <w:rPr>
      <w:rFonts w:ascii="Tahoma" w:hAnsi="Tahoma" w:cs="Tahoma"/>
      <w:color w:val="000000"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5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oi.org/10.17895/ices.pub.52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Heath</dc:creator>
  <cp:lastModifiedBy>Michael Heath</cp:lastModifiedBy>
  <cp:revision>4</cp:revision>
  <dcterms:created xsi:type="dcterms:W3CDTF">2021-02-15T16:14:00Z</dcterms:created>
  <dcterms:modified xsi:type="dcterms:W3CDTF">2021-02-15T20:05:00Z</dcterms:modified>
</cp:coreProperties>
</file>