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43B" w:rsidRDefault="005106E2" w:rsidP="005106E2">
      <w:pPr>
        <w:spacing w:after="0" w:line="240" w:lineRule="auto"/>
        <w:rPr>
          <w:sz w:val="28"/>
          <w:szCs w:val="28"/>
        </w:rPr>
      </w:pPr>
      <w:r w:rsidRPr="005106E2">
        <w:rPr>
          <w:sz w:val="28"/>
          <w:szCs w:val="28"/>
        </w:rPr>
        <w:t>Harbour porpoise bycatch in gillnets – things are never as easy as they seem.</w:t>
      </w:r>
    </w:p>
    <w:p w:rsidR="005106E2" w:rsidRDefault="005106E2" w:rsidP="005106E2">
      <w:pPr>
        <w:spacing w:after="0" w:line="240" w:lineRule="auto"/>
        <w:rPr>
          <w:sz w:val="28"/>
          <w:szCs w:val="28"/>
        </w:rPr>
      </w:pPr>
    </w:p>
    <w:p w:rsidR="005106E2" w:rsidRDefault="005106E2" w:rsidP="005106E2">
      <w:pPr>
        <w:pStyle w:val="Default"/>
        <w:rPr>
          <w:rFonts w:ascii="Arial" w:hAnsi="Arial" w:cs="Arial"/>
          <w:i/>
          <w:iCs/>
          <w:sz w:val="20"/>
          <w:szCs w:val="20"/>
        </w:rPr>
      </w:pPr>
      <w:r w:rsidRPr="005106E2">
        <w:rPr>
          <w:rFonts w:ascii="Arial" w:hAnsi="Arial" w:cs="Arial"/>
          <w:sz w:val="20"/>
          <w:szCs w:val="20"/>
        </w:rPr>
        <w:t xml:space="preserve">Extract from: </w:t>
      </w:r>
      <w:r w:rsidRPr="005106E2">
        <w:rPr>
          <w:rFonts w:ascii="Arial" w:hAnsi="Arial" w:cs="Arial"/>
          <w:i/>
          <w:iCs/>
          <w:sz w:val="20"/>
          <w:szCs w:val="20"/>
        </w:rPr>
        <w:t>ICES Fisheries Overviews Barents Sea Ecor</w:t>
      </w:r>
      <w:r w:rsidRPr="005106E2">
        <w:rPr>
          <w:rFonts w:ascii="Arial" w:hAnsi="Arial" w:cs="Arial"/>
          <w:i/>
          <w:iCs/>
          <w:sz w:val="20"/>
          <w:szCs w:val="20"/>
        </w:rPr>
        <w:t xml:space="preserve">egion Published 29 November 201. </w:t>
      </w:r>
      <w:hyperlink r:id="rId6" w:history="1">
        <w:r w:rsidRPr="00AB3AF5">
          <w:rPr>
            <w:rStyle w:val="Hyperlink"/>
            <w:rFonts w:ascii="Arial" w:hAnsi="Arial" w:cs="Arial"/>
            <w:i/>
            <w:iCs/>
            <w:sz w:val="20"/>
            <w:szCs w:val="20"/>
          </w:rPr>
          <w:t>https://www.ices.dk/sites/pub/Publication%20Reports/Advice/2019/2019/EcosystemOverview_BarentsSea_2019.pdf</w:t>
        </w:r>
      </w:hyperlink>
    </w:p>
    <w:p w:rsidR="005106E2" w:rsidRDefault="005106E2" w:rsidP="005106E2">
      <w:pPr>
        <w:pStyle w:val="Default"/>
        <w:rPr>
          <w:rFonts w:ascii="Arial" w:hAnsi="Arial" w:cs="Arial"/>
          <w:i/>
          <w:iCs/>
          <w:sz w:val="20"/>
          <w:szCs w:val="20"/>
        </w:rPr>
      </w:pPr>
    </w:p>
    <w:p w:rsidR="005106E2" w:rsidRDefault="005106E2" w:rsidP="005106E2">
      <w:pPr>
        <w:rPr>
          <w:szCs w:val="20"/>
        </w:rPr>
      </w:pPr>
      <w:r>
        <w:rPr>
          <w:szCs w:val="20"/>
        </w:rPr>
        <w:t>Page 20 “</w:t>
      </w:r>
      <w:r>
        <w:rPr>
          <w:szCs w:val="20"/>
        </w:rPr>
        <w:t xml:space="preserve">The </w:t>
      </w:r>
      <w:r w:rsidRPr="005106E2">
        <w:rPr>
          <w:color w:val="FF0000"/>
          <w:szCs w:val="20"/>
        </w:rPr>
        <w:t xml:space="preserve">harbour porpoise </w:t>
      </w:r>
      <w:r>
        <w:rPr>
          <w:szCs w:val="20"/>
        </w:rPr>
        <w:t xml:space="preserve">is common in the ecoregion and is most abundant in coastal waters. The harbour porpoise is subject to bycatch in the gillnet fishery (targeting cod, monkfish, and </w:t>
      </w:r>
      <w:proofErr w:type="spellStart"/>
      <w:r>
        <w:rPr>
          <w:szCs w:val="20"/>
        </w:rPr>
        <w:t>saithe</w:t>
      </w:r>
      <w:proofErr w:type="spellEnd"/>
      <w:r>
        <w:rPr>
          <w:szCs w:val="20"/>
        </w:rPr>
        <w:t xml:space="preserve">), and </w:t>
      </w:r>
      <w:r w:rsidRPr="005106E2">
        <w:rPr>
          <w:color w:val="FF0000"/>
          <w:szCs w:val="20"/>
        </w:rPr>
        <w:t>bycatch is estimated to be around 7000 individuals across the whole area</w:t>
      </w:r>
      <w:r>
        <w:rPr>
          <w:szCs w:val="20"/>
        </w:rPr>
        <w:t>; the impact on population is, however, not known.</w:t>
      </w:r>
      <w:r>
        <w:rPr>
          <w:szCs w:val="20"/>
        </w:rPr>
        <w:t>”</w:t>
      </w:r>
    </w:p>
    <w:p w:rsidR="005106E2" w:rsidRDefault="005106E2" w:rsidP="005106E2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Reference: </w:t>
      </w:r>
    </w:p>
    <w:p w:rsidR="005106E2" w:rsidRDefault="005106E2" w:rsidP="005106E2">
      <w:pPr>
        <w:rPr>
          <w:szCs w:val="20"/>
        </w:rPr>
      </w:pPr>
      <w:proofErr w:type="spellStart"/>
      <w:proofErr w:type="gramStart"/>
      <w:r>
        <w:rPr>
          <w:szCs w:val="20"/>
        </w:rPr>
        <w:t>Bjørge</w:t>
      </w:r>
      <w:proofErr w:type="spellEnd"/>
      <w:r>
        <w:rPr>
          <w:szCs w:val="20"/>
        </w:rPr>
        <w:t xml:space="preserve">, A., </w:t>
      </w:r>
      <w:proofErr w:type="spellStart"/>
      <w:r>
        <w:rPr>
          <w:szCs w:val="20"/>
        </w:rPr>
        <w:t>Skern-Mauritzen</w:t>
      </w:r>
      <w:proofErr w:type="spellEnd"/>
      <w:r>
        <w:rPr>
          <w:szCs w:val="20"/>
        </w:rPr>
        <w:t xml:space="preserve">, M., and </w:t>
      </w:r>
      <w:proofErr w:type="spellStart"/>
      <w:r>
        <w:rPr>
          <w:szCs w:val="20"/>
        </w:rPr>
        <w:t>Rossman</w:t>
      </w:r>
      <w:proofErr w:type="spellEnd"/>
      <w:r>
        <w:rPr>
          <w:szCs w:val="20"/>
        </w:rPr>
        <w:t>, M. C. 2013.</w:t>
      </w:r>
      <w:proofErr w:type="gramEnd"/>
      <w:r>
        <w:rPr>
          <w:szCs w:val="20"/>
        </w:rPr>
        <w:t xml:space="preserve"> Estimated bycatch of harbour porpoise (</w:t>
      </w:r>
      <w:proofErr w:type="spellStart"/>
      <w:r>
        <w:rPr>
          <w:i/>
          <w:iCs/>
          <w:szCs w:val="20"/>
        </w:rPr>
        <w:t>Phocoena</w:t>
      </w:r>
      <w:proofErr w:type="spellEnd"/>
      <w:r>
        <w:rPr>
          <w:i/>
          <w:iCs/>
          <w:szCs w:val="20"/>
        </w:rPr>
        <w:t xml:space="preserve"> </w:t>
      </w:r>
      <w:proofErr w:type="spellStart"/>
      <w:r>
        <w:rPr>
          <w:i/>
          <w:iCs/>
          <w:szCs w:val="20"/>
        </w:rPr>
        <w:t>phocoena</w:t>
      </w:r>
      <w:proofErr w:type="spellEnd"/>
      <w:r>
        <w:rPr>
          <w:szCs w:val="20"/>
        </w:rPr>
        <w:t xml:space="preserve">) in two coastal gillnet fisheries in Norway, 2006–2008. </w:t>
      </w:r>
      <w:proofErr w:type="gramStart"/>
      <w:r>
        <w:rPr>
          <w:szCs w:val="20"/>
        </w:rPr>
        <w:t>Mitigation and implications for conservation.</w:t>
      </w:r>
      <w:proofErr w:type="gramEnd"/>
      <w:r>
        <w:rPr>
          <w:szCs w:val="20"/>
        </w:rPr>
        <w:t xml:space="preserve"> Biological Conservation 161: 164–173. </w:t>
      </w:r>
      <w:hyperlink r:id="rId7" w:history="1">
        <w:r w:rsidRPr="00D3226A">
          <w:rPr>
            <w:rStyle w:val="Hyperlink"/>
            <w:szCs w:val="20"/>
          </w:rPr>
          <w:t>https://doi.org/10.1016/j.biocon.2013.03.009</w:t>
        </w:r>
      </w:hyperlink>
      <w:r>
        <w:rPr>
          <w:szCs w:val="20"/>
        </w:rPr>
        <w:t>.</w:t>
      </w:r>
    </w:p>
    <w:p w:rsidR="005106E2" w:rsidRPr="005106E2" w:rsidRDefault="005106E2" w:rsidP="005106E2">
      <w:pPr>
        <w:pStyle w:val="Default"/>
        <w:rPr>
          <w:rFonts w:ascii="Arial" w:hAnsi="Arial" w:cs="Arial"/>
          <w:sz w:val="20"/>
          <w:szCs w:val="20"/>
        </w:rPr>
      </w:pPr>
      <w:r w:rsidRPr="005106E2">
        <w:rPr>
          <w:rFonts w:ascii="Arial" w:hAnsi="Arial" w:cs="Arial"/>
          <w:sz w:val="20"/>
          <w:szCs w:val="20"/>
        </w:rPr>
        <w:t>Seems fine…</w:t>
      </w:r>
      <w:proofErr w:type="gramStart"/>
      <w:r w:rsidRPr="005106E2">
        <w:rPr>
          <w:rFonts w:ascii="Arial" w:hAnsi="Arial" w:cs="Arial"/>
          <w:sz w:val="20"/>
          <w:szCs w:val="20"/>
        </w:rPr>
        <w:t xml:space="preserve">.  </w:t>
      </w:r>
      <w:r w:rsidR="00D32E3C">
        <w:rPr>
          <w:rFonts w:ascii="Arial" w:hAnsi="Arial" w:cs="Arial"/>
          <w:sz w:val="20"/>
          <w:szCs w:val="20"/>
        </w:rPr>
        <w:t>w</w:t>
      </w:r>
      <w:r w:rsidRPr="005106E2">
        <w:rPr>
          <w:rFonts w:ascii="Arial" w:hAnsi="Arial" w:cs="Arial"/>
          <w:sz w:val="20"/>
          <w:szCs w:val="20"/>
        </w:rPr>
        <w:t>ell</w:t>
      </w:r>
      <w:proofErr w:type="gramEnd"/>
      <w:r w:rsidRPr="005106E2">
        <w:rPr>
          <w:rFonts w:ascii="Arial" w:hAnsi="Arial" w:cs="Arial"/>
          <w:sz w:val="20"/>
          <w:szCs w:val="20"/>
        </w:rPr>
        <w:t>, no</w:t>
      </w:r>
      <w:r w:rsidR="00D32E3C">
        <w:rPr>
          <w:rFonts w:ascii="Arial" w:hAnsi="Arial" w:cs="Arial"/>
          <w:sz w:val="20"/>
          <w:szCs w:val="20"/>
        </w:rPr>
        <w:t>…</w:t>
      </w:r>
    </w:p>
    <w:p w:rsidR="005106E2" w:rsidRPr="005106E2" w:rsidRDefault="005106E2" w:rsidP="005106E2">
      <w:pPr>
        <w:pStyle w:val="Default"/>
        <w:rPr>
          <w:rFonts w:ascii="Arial" w:hAnsi="Arial" w:cs="Arial"/>
          <w:sz w:val="20"/>
          <w:szCs w:val="20"/>
        </w:rPr>
      </w:pPr>
    </w:p>
    <w:p w:rsidR="005106E2" w:rsidRDefault="005106E2" w:rsidP="005106E2">
      <w:pPr>
        <w:pStyle w:val="Default"/>
        <w:rPr>
          <w:rFonts w:ascii="Arial" w:hAnsi="Arial" w:cs="Arial"/>
          <w:sz w:val="20"/>
          <w:szCs w:val="20"/>
        </w:rPr>
      </w:pPr>
      <w:r w:rsidRPr="005106E2">
        <w:rPr>
          <w:rFonts w:ascii="Arial" w:hAnsi="Arial" w:cs="Arial"/>
          <w:sz w:val="20"/>
          <w:szCs w:val="20"/>
        </w:rPr>
        <w:t>Going to the orig</w:t>
      </w:r>
      <w:r>
        <w:rPr>
          <w:rFonts w:ascii="Arial" w:hAnsi="Arial" w:cs="Arial"/>
          <w:sz w:val="20"/>
          <w:szCs w:val="20"/>
        </w:rPr>
        <w:t>inal source, the abstracts says</w:t>
      </w:r>
      <w:r w:rsidR="00D32E3C">
        <w:rPr>
          <w:rFonts w:ascii="Arial" w:hAnsi="Arial" w:cs="Arial"/>
          <w:sz w:val="20"/>
          <w:szCs w:val="20"/>
        </w:rPr>
        <w:t xml:space="preserve">: </w:t>
      </w:r>
      <w:r w:rsidRPr="005106E2">
        <w:rPr>
          <w:rFonts w:ascii="Arial" w:hAnsi="Arial" w:cs="Arial"/>
          <w:sz w:val="20"/>
          <w:szCs w:val="20"/>
        </w:rPr>
        <w:t>“…</w:t>
      </w:r>
      <w:r w:rsidRPr="005106E2">
        <w:rPr>
          <w:rFonts w:ascii="Arial" w:hAnsi="Arial" w:cs="Arial"/>
          <w:color w:val="auto"/>
          <w:sz w:val="20"/>
          <w:szCs w:val="20"/>
        </w:rPr>
        <w:t xml:space="preserve"> </w:t>
      </w:r>
      <w:r w:rsidRPr="005106E2">
        <w:rPr>
          <w:rFonts w:ascii="Arial" w:hAnsi="Arial" w:cs="Arial"/>
          <w:sz w:val="20"/>
          <w:szCs w:val="20"/>
        </w:rPr>
        <w:t>about 6900 harbour porpoises are taken annually in</w:t>
      </w:r>
      <w:r>
        <w:rPr>
          <w:rFonts w:ascii="Arial" w:hAnsi="Arial" w:cs="Arial"/>
          <w:sz w:val="20"/>
          <w:szCs w:val="20"/>
        </w:rPr>
        <w:t xml:space="preserve"> </w:t>
      </w:r>
      <w:r w:rsidRPr="005106E2">
        <w:rPr>
          <w:rFonts w:ascii="Arial" w:hAnsi="Arial" w:cs="Arial"/>
          <w:sz w:val="20"/>
          <w:szCs w:val="20"/>
        </w:rPr>
        <w:t xml:space="preserve">the </w:t>
      </w:r>
      <w:r w:rsidRPr="005106E2">
        <w:rPr>
          <w:rFonts w:ascii="Arial" w:hAnsi="Arial" w:cs="Arial"/>
          <w:color w:val="FF0000"/>
          <w:sz w:val="20"/>
          <w:szCs w:val="20"/>
        </w:rPr>
        <w:t xml:space="preserve">coastal </w:t>
      </w:r>
      <w:r w:rsidRPr="005106E2">
        <w:rPr>
          <w:rFonts w:ascii="Arial" w:hAnsi="Arial" w:cs="Arial"/>
          <w:sz w:val="20"/>
          <w:szCs w:val="20"/>
        </w:rPr>
        <w:t>monkfish</w:t>
      </w:r>
      <w:r>
        <w:rPr>
          <w:rFonts w:ascii="Arial" w:hAnsi="Arial" w:cs="Arial"/>
          <w:sz w:val="20"/>
          <w:szCs w:val="20"/>
        </w:rPr>
        <w:t xml:space="preserve"> </w:t>
      </w:r>
      <w:r w:rsidRPr="005106E2">
        <w:rPr>
          <w:rFonts w:ascii="Arial" w:hAnsi="Arial" w:cs="Arial"/>
          <w:sz w:val="20"/>
          <w:szCs w:val="20"/>
        </w:rPr>
        <w:t xml:space="preserve">and cod gillnet </w:t>
      </w:r>
      <w:r>
        <w:rPr>
          <w:rFonts w:ascii="Arial" w:hAnsi="Arial" w:cs="Arial"/>
          <w:sz w:val="20"/>
          <w:szCs w:val="20"/>
        </w:rPr>
        <w:t>f</w:t>
      </w:r>
      <w:r w:rsidRPr="005106E2">
        <w:rPr>
          <w:rFonts w:ascii="Arial" w:hAnsi="Arial" w:cs="Arial"/>
          <w:sz w:val="20"/>
          <w:szCs w:val="20"/>
        </w:rPr>
        <w:t>isheries.”</w:t>
      </w:r>
    </w:p>
    <w:p w:rsidR="00D32E3C" w:rsidRDefault="00D32E3C" w:rsidP="005106E2">
      <w:pPr>
        <w:pStyle w:val="Default"/>
        <w:rPr>
          <w:rFonts w:ascii="Arial" w:hAnsi="Arial" w:cs="Arial"/>
          <w:sz w:val="20"/>
          <w:szCs w:val="20"/>
        </w:rPr>
      </w:pPr>
    </w:p>
    <w:p w:rsidR="00D32E3C" w:rsidRDefault="00D32E3C" w:rsidP="005106E2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Worse still, this is for the whole of Norway not just the Barents Sea….</w:t>
      </w:r>
    </w:p>
    <w:p w:rsidR="00D32E3C" w:rsidRDefault="00D32E3C" w:rsidP="005106E2">
      <w:pPr>
        <w:pStyle w:val="Default"/>
        <w:rPr>
          <w:rFonts w:ascii="Arial" w:hAnsi="Arial" w:cs="Arial"/>
          <w:sz w:val="20"/>
          <w:szCs w:val="20"/>
        </w:rPr>
      </w:pPr>
    </w:p>
    <w:p w:rsidR="00D32E3C" w:rsidRDefault="00D32E3C" w:rsidP="005106E2">
      <w:pPr>
        <w:pStyle w:val="Defaul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GB"/>
        </w:rPr>
        <w:drawing>
          <wp:inline distT="0" distB="0" distL="0" distR="0">
            <wp:extent cx="3244294" cy="44857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075" cy="4484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E3C" w:rsidRPr="005106E2" w:rsidRDefault="00D32E3C" w:rsidP="005106E2">
      <w:pPr>
        <w:pStyle w:val="Default"/>
        <w:rPr>
          <w:rFonts w:ascii="Arial" w:hAnsi="Arial" w:cs="Arial"/>
          <w:sz w:val="20"/>
          <w:szCs w:val="20"/>
        </w:rPr>
      </w:pPr>
    </w:p>
    <w:p w:rsidR="005106E2" w:rsidRPr="00D32E3C" w:rsidRDefault="00D32E3C" w:rsidP="005106E2">
      <w:pPr>
        <w:spacing w:after="0" w:line="240" w:lineRule="auto"/>
        <w:rPr>
          <w:sz w:val="18"/>
          <w:szCs w:val="18"/>
        </w:rPr>
      </w:pPr>
      <w:r w:rsidRPr="00D32E3C">
        <w:rPr>
          <w:sz w:val="18"/>
          <w:szCs w:val="18"/>
        </w:rPr>
        <w:t xml:space="preserve">Fig.1.Nine domestic Norwegian coastal </w:t>
      </w:r>
      <w:proofErr w:type="spellStart"/>
      <w:r w:rsidRPr="00D32E3C">
        <w:rPr>
          <w:sz w:val="18"/>
          <w:szCs w:val="18"/>
        </w:rPr>
        <w:t>fisherystatistics</w:t>
      </w:r>
      <w:proofErr w:type="spellEnd"/>
      <w:r w:rsidRPr="00D32E3C">
        <w:rPr>
          <w:sz w:val="18"/>
          <w:szCs w:val="18"/>
        </w:rPr>
        <w:t xml:space="preserve"> areas and the distribution </w:t>
      </w:r>
      <w:proofErr w:type="spellStart"/>
      <w:r w:rsidRPr="00D32E3C">
        <w:rPr>
          <w:sz w:val="18"/>
          <w:szCs w:val="18"/>
        </w:rPr>
        <w:t>ofporpoises</w:t>
      </w:r>
      <w:proofErr w:type="spellEnd"/>
      <w:r w:rsidRPr="00D32E3C">
        <w:rPr>
          <w:sz w:val="18"/>
          <w:szCs w:val="18"/>
        </w:rPr>
        <w:t xml:space="preserve"> caught </w:t>
      </w:r>
      <w:proofErr w:type="spellStart"/>
      <w:r w:rsidRPr="00D32E3C">
        <w:rPr>
          <w:sz w:val="18"/>
          <w:szCs w:val="18"/>
        </w:rPr>
        <w:t>ongillnets</w:t>
      </w:r>
      <w:proofErr w:type="spellEnd"/>
      <w:r w:rsidRPr="00D32E3C">
        <w:rPr>
          <w:sz w:val="18"/>
          <w:szCs w:val="18"/>
        </w:rPr>
        <w:t xml:space="preserve"> set for </w:t>
      </w:r>
      <w:proofErr w:type="spellStart"/>
      <w:r w:rsidRPr="00D32E3C">
        <w:rPr>
          <w:sz w:val="18"/>
          <w:szCs w:val="18"/>
        </w:rPr>
        <w:t>monkfishorcod</w:t>
      </w:r>
      <w:proofErr w:type="spellEnd"/>
      <w:r w:rsidRPr="00D32E3C">
        <w:rPr>
          <w:sz w:val="18"/>
          <w:szCs w:val="18"/>
        </w:rPr>
        <w:t xml:space="preserve"> </w:t>
      </w:r>
      <w:proofErr w:type="spellStart"/>
      <w:r w:rsidRPr="00D32E3C">
        <w:rPr>
          <w:sz w:val="18"/>
          <w:szCs w:val="18"/>
        </w:rPr>
        <w:t>bythe</w:t>
      </w:r>
      <w:proofErr w:type="spellEnd"/>
      <w:r w:rsidRPr="00D32E3C">
        <w:rPr>
          <w:sz w:val="18"/>
          <w:szCs w:val="18"/>
        </w:rPr>
        <w:t xml:space="preserve"> monitored segment </w:t>
      </w:r>
      <w:proofErr w:type="spellStart"/>
      <w:r w:rsidRPr="00D32E3C">
        <w:rPr>
          <w:sz w:val="18"/>
          <w:szCs w:val="18"/>
        </w:rPr>
        <w:t>ofthe</w:t>
      </w:r>
      <w:proofErr w:type="spellEnd"/>
      <w:r w:rsidRPr="00D32E3C">
        <w:rPr>
          <w:sz w:val="18"/>
          <w:szCs w:val="18"/>
        </w:rPr>
        <w:t xml:space="preserve"> fleet(CRF)in2006,2007 and 2008 (</w:t>
      </w:r>
      <w:proofErr w:type="spellStart"/>
      <w:r w:rsidRPr="00D32E3C">
        <w:rPr>
          <w:sz w:val="18"/>
          <w:szCs w:val="18"/>
        </w:rPr>
        <w:t>seeTable</w:t>
      </w:r>
      <w:proofErr w:type="spellEnd"/>
      <w:r w:rsidRPr="00D32E3C">
        <w:rPr>
          <w:sz w:val="18"/>
          <w:szCs w:val="18"/>
        </w:rPr>
        <w:t xml:space="preserve"> 3for numbers).</w:t>
      </w:r>
    </w:p>
    <w:p w:rsidR="00D32E3C" w:rsidRDefault="00D32E3C" w:rsidP="005106E2">
      <w:pPr>
        <w:spacing w:after="0" w:line="240" w:lineRule="auto"/>
        <w:rPr>
          <w:szCs w:val="20"/>
        </w:rPr>
      </w:pPr>
      <w:r>
        <w:rPr>
          <w:szCs w:val="20"/>
        </w:rPr>
        <w:lastRenderedPageBreak/>
        <w:t>So the ICES Fisheries Overview is totally misleading on this.</w:t>
      </w:r>
    </w:p>
    <w:p w:rsidR="007663B4" w:rsidRDefault="007663B4" w:rsidP="005106E2">
      <w:pPr>
        <w:spacing w:after="0" w:line="240" w:lineRule="auto"/>
        <w:rPr>
          <w:szCs w:val="20"/>
        </w:rPr>
      </w:pPr>
    </w:p>
    <w:p w:rsidR="00D32E3C" w:rsidRDefault="00D32E3C" w:rsidP="005106E2">
      <w:pPr>
        <w:spacing w:after="0" w:line="240" w:lineRule="auto"/>
        <w:rPr>
          <w:szCs w:val="20"/>
        </w:rPr>
      </w:pPr>
    </w:p>
    <w:p w:rsidR="005C3FD8" w:rsidRDefault="005C3FD8" w:rsidP="005106E2">
      <w:pPr>
        <w:spacing w:after="0" w:line="240" w:lineRule="auto"/>
        <w:rPr>
          <w:szCs w:val="20"/>
        </w:rPr>
      </w:pPr>
      <w:r>
        <w:rPr>
          <w:szCs w:val="20"/>
        </w:rPr>
        <w:t xml:space="preserve">From </w:t>
      </w:r>
      <w:proofErr w:type="spellStart"/>
      <w:r>
        <w:rPr>
          <w:szCs w:val="20"/>
        </w:rPr>
        <w:t>Bjørge</w:t>
      </w:r>
      <w:proofErr w:type="gramStart"/>
      <w:r>
        <w:rPr>
          <w:szCs w:val="20"/>
        </w:rPr>
        <w:t>,et</w:t>
      </w:r>
      <w:proofErr w:type="spellEnd"/>
      <w:proofErr w:type="gramEnd"/>
      <w:r>
        <w:rPr>
          <w:szCs w:val="20"/>
        </w:rPr>
        <w:t xml:space="preserve"> al 2013</w:t>
      </w:r>
      <w:r>
        <w:rPr>
          <w:szCs w:val="20"/>
        </w:rPr>
        <w:t xml:space="preserve"> :</w:t>
      </w:r>
    </w:p>
    <w:p w:rsidR="00D32E3C" w:rsidRPr="00D32E3C" w:rsidRDefault="007663B4" w:rsidP="005106E2">
      <w:pPr>
        <w:spacing w:after="0" w:line="240" w:lineRule="auto"/>
        <w:rPr>
          <w:szCs w:val="20"/>
        </w:rPr>
      </w:pPr>
      <w:r w:rsidRPr="007663B4">
        <w:drawing>
          <wp:inline distT="0" distB="0" distL="0" distR="0" wp14:anchorId="305101AD" wp14:editId="2EBA1EE5">
            <wp:extent cx="4137869" cy="44080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59398" t="14444" r="3759" b="15741"/>
                    <a:stretch/>
                  </pic:blipFill>
                  <pic:spPr bwMode="auto">
                    <a:xfrm>
                      <a:off x="0" y="0"/>
                      <a:ext cx="4134223" cy="4404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2E3C" w:rsidRPr="00D32E3C" w:rsidRDefault="00D32E3C" w:rsidP="005106E2">
      <w:pPr>
        <w:spacing w:after="0" w:line="240" w:lineRule="auto"/>
        <w:rPr>
          <w:szCs w:val="20"/>
        </w:rPr>
      </w:pPr>
    </w:p>
    <w:p w:rsidR="00554BAD" w:rsidRDefault="00554BAD" w:rsidP="00554BAD">
      <w:pPr>
        <w:spacing w:after="0" w:line="240" w:lineRule="auto"/>
        <w:rPr>
          <w:szCs w:val="20"/>
        </w:rPr>
      </w:pPr>
      <w:r>
        <w:rPr>
          <w:szCs w:val="20"/>
        </w:rPr>
        <w:t xml:space="preserve">Digitizing the data in Fig 5 upper of </w:t>
      </w:r>
      <w:proofErr w:type="spellStart"/>
      <w:r>
        <w:rPr>
          <w:szCs w:val="20"/>
        </w:rPr>
        <w:t>Bjørge</w:t>
      </w:r>
      <w:proofErr w:type="gramStart"/>
      <w:r>
        <w:rPr>
          <w:szCs w:val="20"/>
        </w:rPr>
        <w:t>,</w:t>
      </w:r>
      <w:r>
        <w:rPr>
          <w:szCs w:val="20"/>
        </w:rPr>
        <w:t>et</w:t>
      </w:r>
      <w:proofErr w:type="spellEnd"/>
      <w:proofErr w:type="gramEnd"/>
      <w:r>
        <w:rPr>
          <w:szCs w:val="20"/>
        </w:rPr>
        <w:t xml:space="preserve"> al 2013</w:t>
      </w:r>
      <w:r w:rsidR="005C3FD8">
        <w:rPr>
          <w:szCs w:val="20"/>
        </w:rPr>
        <w:t xml:space="preserve"> (above)</w:t>
      </w:r>
      <w:r>
        <w:rPr>
          <w:szCs w:val="20"/>
        </w:rPr>
        <w:t xml:space="preserve"> gives the following annual estimates of numbers of porpoise caught in areas 3,4, and 5: </w:t>
      </w:r>
    </w:p>
    <w:p w:rsidR="00554BAD" w:rsidRDefault="00554BAD" w:rsidP="00554BAD">
      <w:pPr>
        <w:spacing w:after="0" w:line="240" w:lineRule="auto"/>
        <w:rPr>
          <w:szCs w:val="20"/>
        </w:rPr>
      </w:pPr>
    </w:p>
    <w:tbl>
      <w:tblPr>
        <w:tblW w:w="0" w:type="auto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2"/>
        <w:gridCol w:w="1322"/>
        <w:gridCol w:w="1323"/>
        <w:gridCol w:w="1032"/>
      </w:tblGrid>
      <w:tr w:rsidR="00554BAD" w:rsidTr="00554BAD">
        <w:tblPrEx>
          <w:tblCellMar>
            <w:top w:w="0" w:type="dxa"/>
            <w:bottom w:w="0" w:type="dxa"/>
          </w:tblCellMar>
        </w:tblPrEx>
        <w:tc>
          <w:tcPr>
            <w:tcW w:w="1032" w:type="dxa"/>
          </w:tcPr>
          <w:p w:rsidR="00554BAD" w:rsidRPr="00554BAD" w:rsidRDefault="00554B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1322" w:type="dxa"/>
          </w:tcPr>
          <w:p w:rsidR="00554BAD" w:rsidRPr="00554BAD" w:rsidRDefault="00554BAD">
            <w:pPr>
              <w:autoSpaceDE w:val="0"/>
              <w:autoSpaceDN w:val="0"/>
              <w:adjustRightInd w:val="0"/>
              <w:spacing w:after="0" w:line="240" w:lineRule="auto"/>
              <w:rPr>
                <w:sz w:val="18"/>
                <w:szCs w:val="18"/>
                <w:lang w:eastAsia="en-US"/>
              </w:rPr>
            </w:pPr>
            <w:r w:rsidRPr="00554BAD">
              <w:rPr>
                <w:sz w:val="18"/>
                <w:szCs w:val="18"/>
                <w:lang w:eastAsia="en-US"/>
              </w:rPr>
              <w:t>Model 1.10</w:t>
            </w:r>
          </w:p>
        </w:tc>
        <w:tc>
          <w:tcPr>
            <w:tcW w:w="1323" w:type="dxa"/>
          </w:tcPr>
          <w:p w:rsidR="00554BAD" w:rsidRPr="00554BAD" w:rsidRDefault="00554BAD">
            <w:pPr>
              <w:autoSpaceDE w:val="0"/>
              <w:autoSpaceDN w:val="0"/>
              <w:adjustRightInd w:val="0"/>
              <w:spacing w:after="0" w:line="240" w:lineRule="auto"/>
              <w:rPr>
                <w:sz w:val="18"/>
                <w:szCs w:val="18"/>
                <w:lang w:eastAsia="en-US"/>
              </w:rPr>
            </w:pPr>
            <w:r w:rsidRPr="00554BAD">
              <w:rPr>
                <w:sz w:val="18"/>
                <w:szCs w:val="18"/>
                <w:lang w:eastAsia="en-US"/>
              </w:rPr>
              <w:t>Model 2.10</w:t>
            </w:r>
          </w:p>
        </w:tc>
        <w:tc>
          <w:tcPr>
            <w:tcW w:w="1032" w:type="dxa"/>
          </w:tcPr>
          <w:p w:rsidR="00554BAD" w:rsidRPr="00554BAD" w:rsidRDefault="00554BAD">
            <w:pPr>
              <w:autoSpaceDE w:val="0"/>
              <w:autoSpaceDN w:val="0"/>
              <w:adjustRightInd w:val="0"/>
              <w:spacing w:after="0" w:line="240" w:lineRule="auto"/>
              <w:rPr>
                <w:sz w:val="18"/>
                <w:szCs w:val="18"/>
                <w:lang w:eastAsia="en-US"/>
              </w:rPr>
            </w:pPr>
            <w:r w:rsidRPr="00554BAD">
              <w:rPr>
                <w:sz w:val="18"/>
                <w:szCs w:val="18"/>
                <w:lang w:eastAsia="en-US"/>
              </w:rPr>
              <w:t>Mean</w:t>
            </w:r>
          </w:p>
        </w:tc>
      </w:tr>
      <w:tr w:rsidR="00554BAD" w:rsidTr="00554BAD">
        <w:tblPrEx>
          <w:tblCellMar>
            <w:top w:w="0" w:type="dxa"/>
            <w:bottom w:w="0" w:type="dxa"/>
          </w:tblCellMar>
        </w:tblPrEx>
        <w:tc>
          <w:tcPr>
            <w:tcW w:w="1032" w:type="dxa"/>
          </w:tcPr>
          <w:p w:rsidR="00554BAD" w:rsidRPr="00554BAD" w:rsidRDefault="00554BAD">
            <w:pPr>
              <w:autoSpaceDE w:val="0"/>
              <w:autoSpaceDN w:val="0"/>
              <w:adjustRightInd w:val="0"/>
              <w:spacing w:after="0" w:line="240" w:lineRule="auto"/>
              <w:rPr>
                <w:sz w:val="18"/>
                <w:szCs w:val="18"/>
                <w:lang w:eastAsia="en-US"/>
              </w:rPr>
            </w:pPr>
            <w:r w:rsidRPr="00554BAD">
              <w:rPr>
                <w:sz w:val="18"/>
                <w:szCs w:val="18"/>
                <w:lang w:eastAsia="en-US"/>
              </w:rPr>
              <w:t>Area 3</w:t>
            </w:r>
          </w:p>
        </w:tc>
        <w:tc>
          <w:tcPr>
            <w:tcW w:w="1322" w:type="dxa"/>
          </w:tcPr>
          <w:p w:rsidR="00554BAD" w:rsidRPr="00554BAD" w:rsidRDefault="00554B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554BAD">
              <w:rPr>
                <w:sz w:val="18"/>
                <w:szCs w:val="18"/>
                <w:lang w:eastAsia="en-US"/>
              </w:rPr>
              <w:t>233</w:t>
            </w:r>
          </w:p>
        </w:tc>
        <w:tc>
          <w:tcPr>
            <w:tcW w:w="1323" w:type="dxa"/>
          </w:tcPr>
          <w:p w:rsidR="00554BAD" w:rsidRPr="00554BAD" w:rsidRDefault="00554B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554BAD">
              <w:rPr>
                <w:sz w:val="18"/>
                <w:szCs w:val="18"/>
                <w:lang w:eastAsia="en-US"/>
              </w:rPr>
              <w:t>367</w:t>
            </w:r>
          </w:p>
        </w:tc>
        <w:tc>
          <w:tcPr>
            <w:tcW w:w="1032" w:type="dxa"/>
          </w:tcPr>
          <w:p w:rsidR="00554BAD" w:rsidRPr="00554BAD" w:rsidRDefault="00554B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554BAD">
              <w:rPr>
                <w:sz w:val="18"/>
                <w:szCs w:val="18"/>
                <w:lang w:eastAsia="en-US"/>
              </w:rPr>
              <w:t>300</w:t>
            </w:r>
          </w:p>
        </w:tc>
      </w:tr>
      <w:tr w:rsidR="00554BAD" w:rsidTr="00554BAD">
        <w:tblPrEx>
          <w:tblCellMar>
            <w:top w:w="0" w:type="dxa"/>
            <w:bottom w:w="0" w:type="dxa"/>
          </w:tblCellMar>
        </w:tblPrEx>
        <w:tc>
          <w:tcPr>
            <w:tcW w:w="1032" w:type="dxa"/>
          </w:tcPr>
          <w:p w:rsidR="00554BAD" w:rsidRPr="00554BAD" w:rsidRDefault="00554BAD">
            <w:pPr>
              <w:autoSpaceDE w:val="0"/>
              <w:autoSpaceDN w:val="0"/>
              <w:adjustRightInd w:val="0"/>
              <w:spacing w:after="0" w:line="240" w:lineRule="auto"/>
              <w:rPr>
                <w:sz w:val="18"/>
                <w:szCs w:val="18"/>
                <w:lang w:eastAsia="en-US"/>
              </w:rPr>
            </w:pPr>
            <w:r w:rsidRPr="00554BAD">
              <w:rPr>
                <w:sz w:val="18"/>
                <w:szCs w:val="18"/>
                <w:lang w:eastAsia="en-US"/>
              </w:rPr>
              <w:t>Area 4</w:t>
            </w:r>
          </w:p>
        </w:tc>
        <w:tc>
          <w:tcPr>
            <w:tcW w:w="1322" w:type="dxa"/>
          </w:tcPr>
          <w:p w:rsidR="00554BAD" w:rsidRPr="00554BAD" w:rsidRDefault="00554B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554BAD">
              <w:rPr>
                <w:sz w:val="18"/>
                <w:szCs w:val="18"/>
                <w:lang w:eastAsia="en-US"/>
              </w:rPr>
              <w:t>333</w:t>
            </w:r>
          </w:p>
        </w:tc>
        <w:tc>
          <w:tcPr>
            <w:tcW w:w="1323" w:type="dxa"/>
          </w:tcPr>
          <w:p w:rsidR="00554BAD" w:rsidRPr="00554BAD" w:rsidRDefault="00554B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554BAD">
              <w:rPr>
                <w:sz w:val="18"/>
                <w:szCs w:val="18"/>
                <w:lang w:eastAsia="en-US"/>
              </w:rPr>
              <w:t>467</w:t>
            </w:r>
          </w:p>
        </w:tc>
        <w:tc>
          <w:tcPr>
            <w:tcW w:w="1032" w:type="dxa"/>
          </w:tcPr>
          <w:p w:rsidR="00554BAD" w:rsidRPr="00554BAD" w:rsidRDefault="00554B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554BAD">
              <w:rPr>
                <w:sz w:val="18"/>
                <w:szCs w:val="18"/>
                <w:lang w:eastAsia="en-US"/>
              </w:rPr>
              <w:t>400</w:t>
            </w:r>
          </w:p>
        </w:tc>
      </w:tr>
      <w:tr w:rsidR="00554BAD" w:rsidTr="00554BAD">
        <w:tblPrEx>
          <w:tblCellMar>
            <w:top w:w="0" w:type="dxa"/>
            <w:bottom w:w="0" w:type="dxa"/>
          </w:tblCellMar>
        </w:tblPrEx>
        <w:tc>
          <w:tcPr>
            <w:tcW w:w="1032" w:type="dxa"/>
          </w:tcPr>
          <w:p w:rsidR="00554BAD" w:rsidRPr="00554BAD" w:rsidRDefault="00554BAD">
            <w:pPr>
              <w:autoSpaceDE w:val="0"/>
              <w:autoSpaceDN w:val="0"/>
              <w:adjustRightInd w:val="0"/>
              <w:spacing w:after="0" w:line="240" w:lineRule="auto"/>
              <w:rPr>
                <w:sz w:val="18"/>
                <w:szCs w:val="18"/>
                <w:lang w:eastAsia="en-US"/>
              </w:rPr>
            </w:pPr>
            <w:r w:rsidRPr="00554BAD">
              <w:rPr>
                <w:sz w:val="18"/>
                <w:szCs w:val="18"/>
                <w:lang w:eastAsia="en-US"/>
              </w:rPr>
              <w:t>Area 5</w:t>
            </w:r>
          </w:p>
        </w:tc>
        <w:tc>
          <w:tcPr>
            <w:tcW w:w="1322" w:type="dxa"/>
          </w:tcPr>
          <w:p w:rsidR="00554BAD" w:rsidRPr="00554BAD" w:rsidRDefault="00554B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554BAD">
              <w:rPr>
                <w:sz w:val="18"/>
                <w:szCs w:val="18"/>
                <w:lang w:eastAsia="en-US"/>
              </w:rPr>
              <w:t>433</w:t>
            </w:r>
          </w:p>
        </w:tc>
        <w:tc>
          <w:tcPr>
            <w:tcW w:w="1323" w:type="dxa"/>
          </w:tcPr>
          <w:p w:rsidR="00554BAD" w:rsidRPr="00554BAD" w:rsidRDefault="00554B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554BAD">
              <w:rPr>
                <w:sz w:val="18"/>
                <w:szCs w:val="18"/>
                <w:lang w:eastAsia="en-US"/>
              </w:rPr>
              <w:t>1067</w:t>
            </w:r>
          </w:p>
        </w:tc>
        <w:tc>
          <w:tcPr>
            <w:tcW w:w="1032" w:type="dxa"/>
          </w:tcPr>
          <w:p w:rsidR="00554BAD" w:rsidRPr="00554BAD" w:rsidRDefault="00554B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554BAD">
              <w:rPr>
                <w:sz w:val="18"/>
                <w:szCs w:val="18"/>
                <w:lang w:eastAsia="en-US"/>
              </w:rPr>
              <w:t>750</w:t>
            </w:r>
          </w:p>
        </w:tc>
      </w:tr>
      <w:tr w:rsidR="00554BAD" w:rsidTr="00554BAD">
        <w:tblPrEx>
          <w:tblCellMar>
            <w:top w:w="0" w:type="dxa"/>
            <w:bottom w:w="0" w:type="dxa"/>
          </w:tblCellMar>
        </w:tblPrEx>
        <w:tc>
          <w:tcPr>
            <w:tcW w:w="1032" w:type="dxa"/>
          </w:tcPr>
          <w:p w:rsidR="00554BAD" w:rsidRPr="00554BAD" w:rsidRDefault="00554B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1322" w:type="dxa"/>
          </w:tcPr>
          <w:p w:rsidR="00554BAD" w:rsidRPr="00554BAD" w:rsidRDefault="00554B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1323" w:type="dxa"/>
          </w:tcPr>
          <w:p w:rsidR="00554BAD" w:rsidRPr="00554BAD" w:rsidRDefault="00554B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</w:p>
        </w:tc>
        <w:tc>
          <w:tcPr>
            <w:tcW w:w="1032" w:type="dxa"/>
          </w:tcPr>
          <w:p w:rsidR="00554BAD" w:rsidRPr="00554BAD" w:rsidRDefault="00554B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</w:p>
        </w:tc>
      </w:tr>
      <w:tr w:rsidR="00554BAD" w:rsidTr="00554BAD">
        <w:tblPrEx>
          <w:tblCellMar>
            <w:top w:w="0" w:type="dxa"/>
            <w:bottom w:w="0" w:type="dxa"/>
          </w:tblCellMar>
        </w:tblPrEx>
        <w:tc>
          <w:tcPr>
            <w:tcW w:w="1032" w:type="dxa"/>
          </w:tcPr>
          <w:p w:rsidR="00554BAD" w:rsidRPr="00554BAD" w:rsidRDefault="00554BAD">
            <w:pPr>
              <w:autoSpaceDE w:val="0"/>
              <w:autoSpaceDN w:val="0"/>
              <w:adjustRightInd w:val="0"/>
              <w:spacing w:after="0" w:line="240" w:lineRule="auto"/>
              <w:rPr>
                <w:sz w:val="18"/>
                <w:szCs w:val="18"/>
                <w:lang w:eastAsia="en-US"/>
              </w:rPr>
            </w:pPr>
            <w:r w:rsidRPr="00554BAD">
              <w:rPr>
                <w:sz w:val="18"/>
                <w:szCs w:val="18"/>
                <w:lang w:eastAsia="en-US"/>
              </w:rPr>
              <w:t>Total</w:t>
            </w:r>
          </w:p>
        </w:tc>
        <w:tc>
          <w:tcPr>
            <w:tcW w:w="1322" w:type="dxa"/>
          </w:tcPr>
          <w:p w:rsidR="00554BAD" w:rsidRPr="00554BAD" w:rsidRDefault="00554B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554BAD">
              <w:rPr>
                <w:sz w:val="18"/>
                <w:szCs w:val="18"/>
                <w:lang w:eastAsia="en-US"/>
              </w:rPr>
              <w:t>1000</w:t>
            </w:r>
          </w:p>
        </w:tc>
        <w:tc>
          <w:tcPr>
            <w:tcW w:w="1323" w:type="dxa"/>
          </w:tcPr>
          <w:p w:rsidR="00554BAD" w:rsidRPr="00554BAD" w:rsidRDefault="00554B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sz w:val="18"/>
                <w:szCs w:val="18"/>
                <w:lang w:eastAsia="en-US"/>
              </w:rPr>
            </w:pPr>
            <w:r w:rsidRPr="00554BAD">
              <w:rPr>
                <w:sz w:val="18"/>
                <w:szCs w:val="18"/>
                <w:lang w:eastAsia="en-US"/>
              </w:rPr>
              <w:t>1900</w:t>
            </w:r>
          </w:p>
        </w:tc>
        <w:tc>
          <w:tcPr>
            <w:tcW w:w="1032" w:type="dxa"/>
          </w:tcPr>
          <w:p w:rsidR="00554BAD" w:rsidRPr="00554BAD" w:rsidRDefault="00554BA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b/>
                <w:sz w:val="18"/>
                <w:szCs w:val="18"/>
                <w:lang w:eastAsia="en-US"/>
              </w:rPr>
            </w:pPr>
            <w:r w:rsidRPr="00554BAD">
              <w:rPr>
                <w:b/>
                <w:color w:val="FF0000"/>
                <w:sz w:val="18"/>
                <w:szCs w:val="18"/>
                <w:lang w:eastAsia="en-US"/>
              </w:rPr>
              <w:t>1450</w:t>
            </w:r>
          </w:p>
        </w:tc>
      </w:tr>
    </w:tbl>
    <w:p w:rsidR="005106E2" w:rsidRDefault="005106E2" w:rsidP="005106E2">
      <w:pPr>
        <w:spacing w:after="0" w:line="240" w:lineRule="auto"/>
        <w:rPr>
          <w:szCs w:val="20"/>
        </w:rPr>
      </w:pPr>
    </w:p>
    <w:p w:rsidR="00554BAD" w:rsidRDefault="00554BAD" w:rsidP="005106E2">
      <w:pPr>
        <w:spacing w:after="0" w:line="240" w:lineRule="auto"/>
        <w:rPr>
          <w:szCs w:val="20"/>
        </w:rPr>
      </w:pPr>
      <w:r>
        <w:rPr>
          <w:szCs w:val="20"/>
        </w:rPr>
        <w:t>So 1450 individual per year seems to be a more realistic estimate of annual porpoise numbers caught in the coastal gillnet fishery in the Barents Sea region.</w:t>
      </w:r>
    </w:p>
    <w:p w:rsidR="00554BAD" w:rsidRDefault="00554BAD" w:rsidP="005106E2">
      <w:pPr>
        <w:spacing w:after="0" w:line="240" w:lineRule="auto"/>
        <w:rPr>
          <w:szCs w:val="20"/>
        </w:rPr>
      </w:pPr>
    </w:p>
    <w:p w:rsidR="00554BAD" w:rsidRDefault="00554BAD" w:rsidP="005106E2">
      <w:pPr>
        <w:spacing w:after="0" w:line="240" w:lineRule="auto"/>
        <w:rPr>
          <w:szCs w:val="20"/>
        </w:rPr>
      </w:pPr>
      <w:r>
        <w:rPr>
          <w:szCs w:val="20"/>
        </w:rPr>
        <w:t>But this is still just for the coastal fishery.</w:t>
      </w:r>
    </w:p>
    <w:p w:rsidR="00554BAD" w:rsidRDefault="00554BAD" w:rsidP="005106E2">
      <w:pPr>
        <w:spacing w:after="0" w:line="240" w:lineRule="auto"/>
        <w:rPr>
          <w:szCs w:val="20"/>
        </w:rPr>
      </w:pPr>
    </w:p>
    <w:p w:rsidR="00554BAD" w:rsidRDefault="00554BAD" w:rsidP="005106E2">
      <w:pPr>
        <w:spacing w:after="0" w:line="240" w:lineRule="auto"/>
        <w:rPr>
          <w:szCs w:val="20"/>
        </w:rPr>
      </w:pPr>
      <w:r>
        <w:rPr>
          <w:szCs w:val="20"/>
        </w:rPr>
        <w:t>And, the data are for 2006-2008 which don’t overlap with our 2011-2019 period when we have IMR effort and landings data.</w:t>
      </w:r>
    </w:p>
    <w:p w:rsidR="00554BAD" w:rsidRDefault="00554BAD" w:rsidP="005106E2">
      <w:pPr>
        <w:spacing w:after="0" w:line="240" w:lineRule="auto"/>
        <w:rPr>
          <w:szCs w:val="20"/>
        </w:rPr>
      </w:pPr>
    </w:p>
    <w:p w:rsidR="00554BAD" w:rsidRDefault="00554BAD" w:rsidP="005106E2">
      <w:pPr>
        <w:spacing w:after="0" w:line="240" w:lineRule="auto"/>
        <w:rPr>
          <w:szCs w:val="20"/>
        </w:rPr>
      </w:pPr>
      <w:r>
        <w:rPr>
          <w:szCs w:val="20"/>
        </w:rPr>
        <w:t>Options:</w:t>
      </w:r>
    </w:p>
    <w:p w:rsidR="00554BAD" w:rsidRDefault="00554BAD" w:rsidP="00554BAD">
      <w:pPr>
        <w:pStyle w:val="ListParagraph"/>
        <w:numPr>
          <w:ilvl w:val="0"/>
          <w:numId w:val="1"/>
        </w:numPr>
        <w:spacing w:after="0" w:line="240" w:lineRule="auto"/>
        <w:rPr>
          <w:szCs w:val="20"/>
        </w:rPr>
      </w:pPr>
      <w:r>
        <w:rPr>
          <w:szCs w:val="20"/>
        </w:rPr>
        <w:t>Assume 1450 porpoises per year caught by inshore gillnets during 2011-2019, and raise to total Barents Sea gillnets, i.e. 1450 * Barents Sea gillnet effort/coastal gillnet effort</w:t>
      </w:r>
    </w:p>
    <w:p w:rsidR="00554BAD" w:rsidRDefault="005C3FD8" w:rsidP="00554BAD">
      <w:pPr>
        <w:pStyle w:val="ListParagraph"/>
        <w:numPr>
          <w:ilvl w:val="0"/>
          <w:numId w:val="1"/>
        </w:numPr>
        <w:spacing w:after="0" w:line="240" w:lineRule="auto"/>
        <w:rPr>
          <w:szCs w:val="20"/>
        </w:rPr>
      </w:pPr>
      <w:r>
        <w:rPr>
          <w:szCs w:val="20"/>
        </w:rPr>
        <w:t xml:space="preserve">Calculate porpoise catch per tonne of cod from </w:t>
      </w:r>
      <w:proofErr w:type="spellStart"/>
      <w:r>
        <w:rPr>
          <w:szCs w:val="20"/>
        </w:rPr>
        <w:t>Bjørge,et</w:t>
      </w:r>
      <w:proofErr w:type="spellEnd"/>
      <w:r>
        <w:rPr>
          <w:szCs w:val="20"/>
        </w:rPr>
        <w:t xml:space="preserve"> al 2013</w:t>
      </w:r>
      <w:r>
        <w:rPr>
          <w:szCs w:val="20"/>
        </w:rPr>
        <w:t>, and calculate Barents Sea porpoise catch from Barents Sea cod catch by gillnets</w:t>
      </w:r>
    </w:p>
    <w:p w:rsidR="005C3FD8" w:rsidRDefault="005C3FD8" w:rsidP="005C3FD8">
      <w:pPr>
        <w:spacing w:after="0" w:line="240" w:lineRule="auto"/>
        <w:rPr>
          <w:szCs w:val="20"/>
        </w:rPr>
      </w:pPr>
    </w:p>
    <w:p w:rsidR="005C3FD8" w:rsidRDefault="005C3FD8" w:rsidP="005C3FD8">
      <w:pPr>
        <w:spacing w:after="0" w:line="240" w:lineRule="auto"/>
        <w:rPr>
          <w:szCs w:val="20"/>
        </w:rPr>
      </w:pPr>
      <w:r>
        <w:rPr>
          <w:szCs w:val="20"/>
        </w:rPr>
        <w:t xml:space="preserve">From Tables 2 &amp; 3 in </w:t>
      </w:r>
      <w:proofErr w:type="spellStart"/>
      <w:r>
        <w:rPr>
          <w:szCs w:val="20"/>
        </w:rPr>
        <w:t>Bjørge</w:t>
      </w:r>
      <w:proofErr w:type="gramStart"/>
      <w:r>
        <w:rPr>
          <w:szCs w:val="20"/>
        </w:rPr>
        <w:t>,et</w:t>
      </w:r>
      <w:proofErr w:type="spellEnd"/>
      <w:proofErr w:type="gramEnd"/>
      <w:r>
        <w:rPr>
          <w:szCs w:val="20"/>
        </w:rPr>
        <w:t xml:space="preserve"> al 2013</w:t>
      </w:r>
      <w:r>
        <w:rPr>
          <w:szCs w:val="20"/>
        </w:rPr>
        <w:t>…</w:t>
      </w:r>
    </w:p>
    <w:p w:rsidR="005C3FD8" w:rsidRDefault="005C3FD8" w:rsidP="005C3FD8">
      <w:pPr>
        <w:spacing w:after="0" w:line="240" w:lineRule="auto"/>
        <w:rPr>
          <w:szCs w:val="20"/>
        </w:rPr>
      </w:pPr>
    </w:p>
    <w:tbl>
      <w:tblPr>
        <w:tblW w:w="0" w:type="auto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1827"/>
        <w:gridCol w:w="1559"/>
        <w:gridCol w:w="1418"/>
        <w:gridCol w:w="1275"/>
      </w:tblGrid>
      <w:tr w:rsidR="005C3FD8" w:rsidTr="00CB0769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7401" w:type="dxa"/>
            <w:gridSpan w:val="5"/>
          </w:tcPr>
          <w:p w:rsidR="005C3FD8" w:rsidRPr="005C3FD8" w:rsidRDefault="005C3FD8" w:rsidP="005C3FD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sz w:val="22"/>
                <w:lang w:eastAsia="en-US"/>
              </w:rPr>
            </w:pPr>
            <w:r w:rsidRPr="005C3FD8">
              <w:rPr>
                <w:rFonts w:ascii="Calibri" w:hAnsi="Calibri" w:cs="Calibri"/>
                <w:b/>
                <w:sz w:val="22"/>
                <w:lang w:eastAsia="en-US"/>
              </w:rPr>
              <w:t>Cod catch (tonnes)</w:t>
            </w:r>
          </w:p>
        </w:tc>
      </w:tr>
      <w:tr w:rsidR="005C3FD8" w:rsidTr="005C3FD8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322" w:type="dxa"/>
          </w:tcPr>
          <w:p w:rsidR="005C3FD8" w:rsidRDefault="005C3F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827" w:type="dxa"/>
          </w:tcPr>
          <w:p w:rsidR="005C3FD8" w:rsidRDefault="005C3F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sz w:val="22"/>
                <w:lang w:eastAsia="en-US"/>
              </w:rPr>
            </w:pPr>
            <w:r>
              <w:rPr>
                <w:rFonts w:ascii="Calibri" w:hAnsi="Calibri" w:cs="Calibri"/>
                <w:sz w:val="22"/>
                <w:lang w:eastAsia="en-US"/>
              </w:rPr>
              <w:t>2006</w:t>
            </w:r>
          </w:p>
        </w:tc>
        <w:tc>
          <w:tcPr>
            <w:tcW w:w="1559" w:type="dxa"/>
          </w:tcPr>
          <w:p w:rsidR="005C3FD8" w:rsidRDefault="005C3F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sz w:val="22"/>
                <w:lang w:eastAsia="en-US"/>
              </w:rPr>
            </w:pPr>
            <w:r>
              <w:rPr>
                <w:rFonts w:ascii="Calibri" w:hAnsi="Calibri" w:cs="Calibri"/>
                <w:sz w:val="22"/>
                <w:lang w:eastAsia="en-US"/>
              </w:rPr>
              <w:t>2007</w:t>
            </w:r>
          </w:p>
        </w:tc>
        <w:tc>
          <w:tcPr>
            <w:tcW w:w="1418" w:type="dxa"/>
          </w:tcPr>
          <w:p w:rsidR="005C3FD8" w:rsidRDefault="005C3F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sz w:val="22"/>
                <w:lang w:eastAsia="en-US"/>
              </w:rPr>
            </w:pPr>
            <w:r>
              <w:rPr>
                <w:rFonts w:ascii="Calibri" w:hAnsi="Calibri" w:cs="Calibri"/>
                <w:sz w:val="22"/>
                <w:lang w:eastAsia="en-US"/>
              </w:rPr>
              <w:t>2008</w:t>
            </w:r>
          </w:p>
        </w:tc>
        <w:tc>
          <w:tcPr>
            <w:tcW w:w="1275" w:type="dxa"/>
          </w:tcPr>
          <w:p w:rsidR="005C3FD8" w:rsidRDefault="005C3FD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2"/>
                <w:lang w:eastAsia="en-US"/>
              </w:rPr>
            </w:pPr>
            <w:r>
              <w:rPr>
                <w:rFonts w:ascii="Calibri" w:hAnsi="Calibri" w:cs="Calibri"/>
                <w:sz w:val="22"/>
                <w:lang w:eastAsia="en-US"/>
              </w:rPr>
              <w:t>Total</w:t>
            </w:r>
          </w:p>
        </w:tc>
      </w:tr>
      <w:tr w:rsidR="005C3FD8" w:rsidTr="005C3FD8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322" w:type="dxa"/>
          </w:tcPr>
          <w:p w:rsidR="005C3FD8" w:rsidRDefault="005C3FD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2"/>
                <w:lang w:eastAsia="en-US"/>
              </w:rPr>
            </w:pPr>
            <w:r>
              <w:rPr>
                <w:rFonts w:ascii="Calibri" w:hAnsi="Calibri" w:cs="Calibri"/>
                <w:sz w:val="22"/>
                <w:lang w:eastAsia="en-US"/>
              </w:rPr>
              <w:t>Area 3</w:t>
            </w:r>
          </w:p>
        </w:tc>
        <w:tc>
          <w:tcPr>
            <w:tcW w:w="1827" w:type="dxa"/>
          </w:tcPr>
          <w:p w:rsidR="005C3FD8" w:rsidRDefault="005C3F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sz w:val="22"/>
                <w:lang w:eastAsia="en-US"/>
              </w:rPr>
            </w:pPr>
            <w:r>
              <w:rPr>
                <w:rFonts w:ascii="Calibri" w:hAnsi="Calibri" w:cs="Calibri"/>
                <w:sz w:val="22"/>
                <w:lang w:eastAsia="en-US"/>
              </w:rPr>
              <w:t>20.651</w:t>
            </w:r>
          </w:p>
        </w:tc>
        <w:tc>
          <w:tcPr>
            <w:tcW w:w="1559" w:type="dxa"/>
          </w:tcPr>
          <w:p w:rsidR="005C3FD8" w:rsidRDefault="005C3F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sz w:val="22"/>
                <w:lang w:eastAsia="en-US"/>
              </w:rPr>
            </w:pPr>
            <w:r>
              <w:rPr>
                <w:rFonts w:ascii="Calibri" w:hAnsi="Calibri" w:cs="Calibri"/>
                <w:sz w:val="22"/>
                <w:lang w:eastAsia="en-US"/>
              </w:rPr>
              <w:t>1.885</w:t>
            </w:r>
          </w:p>
        </w:tc>
        <w:tc>
          <w:tcPr>
            <w:tcW w:w="1418" w:type="dxa"/>
          </w:tcPr>
          <w:p w:rsidR="005C3FD8" w:rsidRDefault="005C3F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sz w:val="22"/>
                <w:lang w:eastAsia="en-US"/>
              </w:rPr>
            </w:pPr>
            <w:r>
              <w:rPr>
                <w:rFonts w:ascii="Calibri" w:hAnsi="Calibri" w:cs="Calibri"/>
                <w:sz w:val="22"/>
                <w:lang w:eastAsia="en-US"/>
              </w:rPr>
              <w:t>15.486</w:t>
            </w:r>
          </w:p>
        </w:tc>
        <w:tc>
          <w:tcPr>
            <w:tcW w:w="1275" w:type="dxa"/>
          </w:tcPr>
          <w:p w:rsidR="005C3FD8" w:rsidRDefault="005C3F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sz w:val="22"/>
                <w:lang w:eastAsia="en-US"/>
              </w:rPr>
            </w:pPr>
            <w:r>
              <w:rPr>
                <w:rFonts w:ascii="Calibri" w:hAnsi="Calibri" w:cs="Calibri"/>
                <w:sz w:val="22"/>
                <w:lang w:eastAsia="en-US"/>
              </w:rPr>
              <w:t>38.022</w:t>
            </w:r>
          </w:p>
        </w:tc>
      </w:tr>
      <w:tr w:rsidR="005C3FD8" w:rsidTr="005C3FD8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322" w:type="dxa"/>
          </w:tcPr>
          <w:p w:rsidR="005C3FD8" w:rsidRDefault="005C3FD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2"/>
                <w:lang w:eastAsia="en-US"/>
              </w:rPr>
            </w:pPr>
            <w:r>
              <w:rPr>
                <w:rFonts w:ascii="Calibri" w:hAnsi="Calibri" w:cs="Calibri"/>
                <w:sz w:val="22"/>
                <w:lang w:eastAsia="en-US"/>
              </w:rPr>
              <w:t>Area 4</w:t>
            </w:r>
          </w:p>
        </w:tc>
        <w:tc>
          <w:tcPr>
            <w:tcW w:w="1827" w:type="dxa"/>
          </w:tcPr>
          <w:p w:rsidR="005C3FD8" w:rsidRDefault="005C3F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sz w:val="22"/>
                <w:lang w:eastAsia="en-US"/>
              </w:rPr>
            </w:pPr>
            <w:r>
              <w:rPr>
                <w:rFonts w:ascii="Calibri" w:hAnsi="Calibri" w:cs="Calibri"/>
                <w:sz w:val="22"/>
                <w:lang w:eastAsia="en-US"/>
              </w:rPr>
              <w:t>371.076</w:t>
            </w:r>
          </w:p>
        </w:tc>
        <w:tc>
          <w:tcPr>
            <w:tcW w:w="1559" w:type="dxa"/>
          </w:tcPr>
          <w:p w:rsidR="005C3FD8" w:rsidRDefault="005C3F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sz w:val="22"/>
                <w:lang w:eastAsia="en-US"/>
              </w:rPr>
            </w:pPr>
            <w:r>
              <w:rPr>
                <w:rFonts w:ascii="Calibri" w:hAnsi="Calibri" w:cs="Calibri"/>
                <w:sz w:val="22"/>
                <w:lang w:eastAsia="en-US"/>
              </w:rPr>
              <w:t>185.101</w:t>
            </w:r>
          </w:p>
        </w:tc>
        <w:tc>
          <w:tcPr>
            <w:tcW w:w="1418" w:type="dxa"/>
          </w:tcPr>
          <w:p w:rsidR="005C3FD8" w:rsidRDefault="005C3F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sz w:val="22"/>
                <w:lang w:eastAsia="en-US"/>
              </w:rPr>
            </w:pPr>
            <w:r>
              <w:rPr>
                <w:rFonts w:ascii="Calibri" w:hAnsi="Calibri" w:cs="Calibri"/>
                <w:sz w:val="22"/>
                <w:lang w:eastAsia="en-US"/>
              </w:rPr>
              <w:t>234.634</w:t>
            </w:r>
          </w:p>
        </w:tc>
        <w:tc>
          <w:tcPr>
            <w:tcW w:w="1275" w:type="dxa"/>
          </w:tcPr>
          <w:p w:rsidR="005C3FD8" w:rsidRDefault="005C3F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sz w:val="22"/>
                <w:lang w:eastAsia="en-US"/>
              </w:rPr>
            </w:pPr>
            <w:r>
              <w:rPr>
                <w:rFonts w:ascii="Calibri" w:hAnsi="Calibri" w:cs="Calibri"/>
                <w:sz w:val="22"/>
                <w:lang w:eastAsia="en-US"/>
              </w:rPr>
              <w:t>790.811</w:t>
            </w:r>
          </w:p>
        </w:tc>
      </w:tr>
      <w:tr w:rsidR="005C3FD8" w:rsidTr="005C3FD8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322" w:type="dxa"/>
          </w:tcPr>
          <w:p w:rsidR="005C3FD8" w:rsidRDefault="005C3FD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2"/>
                <w:lang w:eastAsia="en-US"/>
              </w:rPr>
            </w:pPr>
            <w:r>
              <w:rPr>
                <w:rFonts w:ascii="Calibri" w:hAnsi="Calibri" w:cs="Calibri"/>
                <w:sz w:val="22"/>
                <w:lang w:eastAsia="en-US"/>
              </w:rPr>
              <w:t>Area 5</w:t>
            </w:r>
          </w:p>
        </w:tc>
        <w:tc>
          <w:tcPr>
            <w:tcW w:w="1827" w:type="dxa"/>
          </w:tcPr>
          <w:p w:rsidR="005C3FD8" w:rsidRDefault="005C3F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sz w:val="22"/>
                <w:lang w:eastAsia="en-US"/>
              </w:rPr>
            </w:pPr>
            <w:r>
              <w:rPr>
                <w:rFonts w:ascii="Calibri" w:hAnsi="Calibri" w:cs="Calibri"/>
                <w:sz w:val="22"/>
                <w:lang w:eastAsia="en-US"/>
              </w:rPr>
              <w:t>283.979</w:t>
            </w:r>
          </w:p>
        </w:tc>
        <w:tc>
          <w:tcPr>
            <w:tcW w:w="1559" w:type="dxa"/>
          </w:tcPr>
          <w:p w:rsidR="005C3FD8" w:rsidRDefault="005C3F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sz w:val="22"/>
                <w:lang w:eastAsia="en-US"/>
              </w:rPr>
            </w:pPr>
            <w:r>
              <w:rPr>
                <w:rFonts w:ascii="Calibri" w:hAnsi="Calibri" w:cs="Calibri"/>
                <w:sz w:val="22"/>
                <w:lang w:eastAsia="en-US"/>
              </w:rPr>
              <w:t>297.079</w:t>
            </w:r>
          </w:p>
        </w:tc>
        <w:tc>
          <w:tcPr>
            <w:tcW w:w="1418" w:type="dxa"/>
          </w:tcPr>
          <w:p w:rsidR="005C3FD8" w:rsidRDefault="005C3F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sz w:val="22"/>
                <w:lang w:eastAsia="en-US"/>
              </w:rPr>
            </w:pPr>
            <w:r>
              <w:rPr>
                <w:rFonts w:ascii="Calibri" w:hAnsi="Calibri" w:cs="Calibri"/>
                <w:sz w:val="22"/>
                <w:lang w:eastAsia="en-US"/>
              </w:rPr>
              <w:t>293.684</w:t>
            </w:r>
          </w:p>
        </w:tc>
        <w:tc>
          <w:tcPr>
            <w:tcW w:w="1275" w:type="dxa"/>
          </w:tcPr>
          <w:p w:rsidR="005C3FD8" w:rsidRDefault="005C3F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sz w:val="22"/>
                <w:lang w:eastAsia="en-US"/>
              </w:rPr>
            </w:pPr>
            <w:r>
              <w:rPr>
                <w:rFonts w:ascii="Calibri" w:hAnsi="Calibri" w:cs="Calibri"/>
                <w:sz w:val="22"/>
                <w:lang w:eastAsia="en-US"/>
              </w:rPr>
              <w:t>874.742</w:t>
            </w:r>
          </w:p>
        </w:tc>
      </w:tr>
      <w:tr w:rsidR="005C3FD8" w:rsidTr="005C3FD8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322" w:type="dxa"/>
          </w:tcPr>
          <w:p w:rsidR="005C3FD8" w:rsidRDefault="005C3F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827" w:type="dxa"/>
          </w:tcPr>
          <w:p w:rsidR="005C3FD8" w:rsidRDefault="005C3F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559" w:type="dxa"/>
          </w:tcPr>
          <w:p w:rsidR="005C3FD8" w:rsidRDefault="005C3F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418" w:type="dxa"/>
          </w:tcPr>
          <w:p w:rsidR="005C3FD8" w:rsidRDefault="005C3F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275" w:type="dxa"/>
          </w:tcPr>
          <w:p w:rsidR="005C3FD8" w:rsidRDefault="005C3F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  <w:tr w:rsidR="005C3FD8" w:rsidTr="005C3FD8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322" w:type="dxa"/>
          </w:tcPr>
          <w:p w:rsidR="005C3FD8" w:rsidRDefault="005C3FD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2"/>
                <w:lang w:eastAsia="en-US"/>
              </w:rPr>
            </w:pPr>
            <w:r>
              <w:rPr>
                <w:rFonts w:ascii="Calibri" w:hAnsi="Calibri" w:cs="Calibri"/>
                <w:sz w:val="22"/>
                <w:lang w:eastAsia="en-US"/>
              </w:rPr>
              <w:t>Total</w:t>
            </w:r>
          </w:p>
        </w:tc>
        <w:tc>
          <w:tcPr>
            <w:tcW w:w="1827" w:type="dxa"/>
          </w:tcPr>
          <w:p w:rsidR="005C3FD8" w:rsidRDefault="005C3F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sz w:val="22"/>
                <w:lang w:eastAsia="en-US"/>
              </w:rPr>
            </w:pPr>
            <w:r>
              <w:rPr>
                <w:rFonts w:ascii="Calibri" w:hAnsi="Calibri" w:cs="Calibri"/>
                <w:sz w:val="22"/>
                <w:lang w:eastAsia="en-US"/>
              </w:rPr>
              <w:t>675.706</w:t>
            </w:r>
          </w:p>
        </w:tc>
        <w:tc>
          <w:tcPr>
            <w:tcW w:w="1559" w:type="dxa"/>
          </w:tcPr>
          <w:p w:rsidR="005C3FD8" w:rsidRDefault="005C3F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sz w:val="22"/>
                <w:lang w:eastAsia="en-US"/>
              </w:rPr>
            </w:pPr>
            <w:r>
              <w:rPr>
                <w:rFonts w:ascii="Calibri" w:hAnsi="Calibri" w:cs="Calibri"/>
                <w:sz w:val="22"/>
                <w:lang w:eastAsia="en-US"/>
              </w:rPr>
              <w:t>484.065</w:t>
            </w:r>
          </w:p>
        </w:tc>
        <w:tc>
          <w:tcPr>
            <w:tcW w:w="1418" w:type="dxa"/>
          </w:tcPr>
          <w:p w:rsidR="005C3FD8" w:rsidRDefault="005C3F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sz w:val="22"/>
                <w:lang w:eastAsia="en-US"/>
              </w:rPr>
            </w:pPr>
            <w:r>
              <w:rPr>
                <w:rFonts w:ascii="Calibri" w:hAnsi="Calibri" w:cs="Calibri"/>
                <w:sz w:val="22"/>
                <w:lang w:eastAsia="en-US"/>
              </w:rPr>
              <w:t>543.804</w:t>
            </w:r>
          </w:p>
        </w:tc>
        <w:tc>
          <w:tcPr>
            <w:tcW w:w="1275" w:type="dxa"/>
          </w:tcPr>
          <w:p w:rsidR="005C3FD8" w:rsidRDefault="005C3F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sz w:val="22"/>
                <w:lang w:eastAsia="en-US"/>
              </w:rPr>
            </w:pPr>
            <w:r>
              <w:rPr>
                <w:rFonts w:ascii="Calibri" w:hAnsi="Calibri" w:cs="Calibri"/>
                <w:sz w:val="22"/>
                <w:lang w:eastAsia="en-US"/>
              </w:rPr>
              <w:t>1703.575</w:t>
            </w:r>
          </w:p>
        </w:tc>
      </w:tr>
    </w:tbl>
    <w:p w:rsidR="005C3FD8" w:rsidRDefault="005C3FD8" w:rsidP="005C3FD8">
      <w:pPr>
        <w:spacing w:after="0" w:line="240" w:lineRule="auto"/>
        <w:rPr>
          <w:szCs w:val="20"/>
        </w:rPr>
      </w:pPr>
    </w:p>
    <w:tbl>
      <w:tblPr>
        <w:tblW w:w="0" w:type="auto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6"/>
        <w:gridCol w:w="1843"/>
        <w:gridCol w:w="1559"/>
        <w:gridCol w:w="1418"/>
        <w:gridCol w:w="1275"/>
      </w:tblGrid>
      <w:tr w:rsidR="005C3FD8" w:rsidTr="001F1863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7401" w:type="dxa"/>
            <w:gridSpan w:val="5"/>
          </w:tcPr>
          <w:p w:rsidR="005C3FD8" w:rsidRPr="005C3FD8" w:rsidRDefault="005C3FD8" w:rsidP="005C3FD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sz w:val="22"/>
                <w:lang w:eastAsia="en-US"/>
              </w:rPr>
            </w:pPr>
            <w:r w:rsidRPr="005C3FD8">
              <w:rPr>
                <w:rFonts w:ascii="Calibri" w:hAnsi="Calibri" w:cs="Calibri"/>
                <w:b/>
                <w:sz w:val="22"/>
                <w:lang w:eastAsia="en-US"/>
              </w:rPr>
              <w:t>Porpoise catch (individuals)</w:t>
            </w:r>
          </w:p>
        </w:tc>
      </w:tr>
      <w:tr w:rsidR="005C3FD8" w:rsidTr="005C3FD8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306" w:type="dxa"/>
          </w:tcPr>
          <w:p w:rsidR="005C3FD8" w:rsidRDefault="005C3F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843" w:type="dxa"/>
          </w:tcPr>
          <w:p w:rsidR="005C3FD8" w:rsidRDefault="005C3F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sz w:val="22"/>
                <w:lang w:eastAsia="en-US"/>
              </w:rPr>
            </w:pPr>
            <w:r>
              <w:rPr>
                <w:rFonts w:ascii="Calibri" w:hAnsi="Calibri" w:cs="Calibri"/>
                <w:sz w:val="22"/>
                <w:lang w:eastAsia="en-US"/>
              </w:rPr>
              <w:t>2006</w:t>
            </w:r>
          </w:p>
        </w:tc>
        <w:tc>
          <w:tcPr>
            <w:tcW w:w="1559" w:type="dxa"/>
          </w:tcPr>
          <w:p w:rsidR="005C3FD8" w:rsidRDefault="005C3F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sz w:val="22"/>
                <w:lang w:eastAsia="en-US"/>
              </w:rPr>
            </w:pPr>
            <w:r>
              <w:rPr>
                <w:rFonts w:ascii="Calibri" w:hAnsi="Calibri" w:cs="Calibri"/>
                <w:sz w:val="22"/>
                <w:lang w:eastAsia="en-US"/>
              </w:rPr>
              <w:t>2007</w:t>
            </w:r>
          </w:p>
        </w:tc>
        <w:tc>
          <w:tcPr>
            <w:tcW w:w="1418" w:type="dxa"/>
          </w:tcPr>
          <w:p w:rsidR="005C3FD8" w:rsidRDefault="005C3F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sz w:val="22"/>
                <w:lang w:eastAsia="en-US"/>
              </w:rPr>
            </w:pPr>
            <w:r>
              <w:rPr>
                <w:rFonts w:ascii="Calibri" w:hAnsi="Calibri" w:cs="Calibri"/>
                <w:sz w:val="22"/>
                <w:lang w:eastAsia="en-US"/>
              </w:rPr>
              <w:t>2008</w:t>
            </w:r>
          </w:p>
        </w:tc>
        <w:tc>
          <w:tcPr>
            <w:tcW w:w="1275" w:type="dxa"/>
          </w:tcPr>
          <w:p w:rsidR="005C3FD8" w:rsidRDefault="005C3FD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2"/>
                <w:lang w:eastAsia="en-US"/>
              </w:rPr>
            </w:pPr>
            <w:r>
              <w:rPr>
                <w:rFonts w:ascii="Calibri" w:hAnsi="Calibri" w:cs="Calibri"/>
                <w:sz w:val="22"/>
                <w:lang w:eastAsia="en-US"/>
              </w:rPr>
              <w:t>Total</w:t>
            </w:r>
          </w:p>
        </w:tc>
      </w:tr>
      <w:tr w:rsidR="005C3FD8" w:rsidTr="005C3FD8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306" w:type="dxa"/>
          </w:tcPr>
          <w:p w:rsidR="005C3FD8" w:rsidRDefault="005C3FD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2"/>
                <w:lang w:eastAsia="en-US"/>
              </w:rPr>
            </w:pPr>
            <w:r>
              <w:rPr>
                <w:rFonts w:ascii="Calibri" w:hAnsi="Calibri" w:cs="Calibri"/>
                <w:sz w:val="22"/>
                <w:lang w:eastAsia="en-US"/>
              </w:rPr>
              <w:t>Area 3</w:t>
            </w:r>
          </w:p>
        </w:tc>
        <w:tc>
          <w:tcPr>
            <w:tcW w:w="1843" w:type="dxa"/>
          </w:tcPr>
          <w:p w:rsidR="005C3FD8" w:rsidRDefault="005C3F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sz w:val="22"/>
                <w:lang w:eastAsia="en-US"/>
              </w:rPr>
            </w:pPr>
            <w:r>
              <w:rPr>
                <w:rFonts w:ascii="Calibri" w:hAnsi="Calibri" w:cs="Calibri"/>
                <w:sz w:val="22"/>
                <w:lang w:eastAsia="en-US"/>
              </w:rPr>
              <w:t>1</w:t>
            </w:r>
          </w:p>
        </w:tc>
        <w:tc>
          <w:tcPr>
            <w:tcW w:w="1559" w:type="dxa"/>
          </w:tcPr>
          <w:p w:rsidR="005C3FD8" w:rsidRDefault="005C3F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sz w:val="22"/>
                <w:lang w:eastAsia="en-US"/>
              </w:rPr>
            </w:pPr>
            <w:r>
              <w:rPr>
                <w:rFonts w:ascii="Calibri" w:hAnsi="Calibri" w:cs="Calibri"/>
                <w:sz w:val="22"/>
                <w:lang w:eastAsia="en-US"/>
              </w:rPr>
              <w:t>0</w:t>
            </w:r>
          </w:p>
        </w:tc>
        <w:tc>
          <w:tcPr>
            <w:tcW w:w="1418" w:type="dxa"/>
          </w:tcPr>
          <w:p w:rsidR="005C3FD8" w:rsidRDefault="005C3F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sz w:val="22"/>
                <w:lang w:eastAsia="en-US"/>
              </w:rPr>
            </w:pPr>
            <w:r>
              <w:rPr>
                <w:rFonts w:ascii="Calibri" w:hAnsi="Calibri" w:cs="Calibri"/>
                <w:sz w:val="22"/>
                <w:lang w:eastAsia="en-US"/>
              </w:rPr>
              <w:t>0</w:t>
            </w:r>
          </w:p>
        </w:tc>
        <w:tc>
          <w:tcPr>
            <w:tcW w:w="1275" w:type="dxa"/>
          </w:tcPr>
          <w:p w:rsidR="005C3FD8" w:rsidRDefault="005C3F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sz w:val="22"/>
                <w:lang w:eastAsia="en-US"/>
              </w:rPr>
            </w:pPr>
            <w:r>
              <w:rPr>
                <w:rFonts w:ascii="Calibri" w:hAnsi="Calibri" w:cs="Calibri"/>
                <w:sz w:val="22"/>
                <w:lang w:eastAsia="en-US"/>
              </w:rPr>
              <w:t>1</w:t>
            </w:r>
          </w:p>
        </w:tc>
      </w:tr>
      <w:tr w:rsidR="005C3FD8" w:rsidTr="005C3FD8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306" w:type="dxa"/>
          </w:tcPr>
          <w:p w:rsidR="005C3FD8" w:rsidRDefault="005C3FD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2"/>
                <w:lang w:eastAsia="en-US"/>
              </w:rPr>
            </w:pPr>
            <w:r>
              <w:rPr>
                <w:rFonts w:ascii="Calibri" w:hAnsi="Calibri" w:cs="Calibri"/>
                <w:sz w:val="22"/>
                <w:lang w:eastAsia="en-US"/>
              </w:rPr>
              <w:t>Area 4</w:t>
            </w:r>
          </w:p>
        </w:tc>
        <w:tc>
          <w:tcPr>
            <w:tcW w:w="1843" w:type="dxa"/>
          </w:tcPr>
          <w:p w:rsidR="005C3FD8" w:rsidRDefault="005C3F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sz w:val="22"/>
                <w:lang w:eastAsia="en-US"/>
              </w:rPr>
            </w:pPr>
            <w:r>
              <w:rPr>
                <w:rFonts w:ascii="Calibri" w:hAnsi="Calibri" w:cs="Calibri"/>
                <w:sz w:val="22"/>
                <w:lang w:eastAsia="en-US"/>
              </w:rPr>
              <w:t>8</w:t>
            </w:r>
          </w:p>
        </w:tc>
        <w:tc>
          <w:tcPr>
            <w:tcW w:w="1559" w:type="dxa"/>
          </w:tcPr>
          <w:p w:rsidR="005C3FD8" w:rsidRDefault="005C3F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sz w:val="22"/>
                <w:lang w:eastAsia="en-US"/>
              </w:rPr>
            </w:pPr>
            <w:r>
              <w:rPr>
                <w:rFonts w:ascii="Calibri" w:hAnsi="Calibri" w:cs="Calibri"/>
                <w:sz w:val="22"/>
                <w:lang w:eastAsia="en-US"/>
              </w:rPr>
              <w:t>1</w:t>
            </w:r>
          </w:p>
        </w:tc>
        <w:tc>
          <w:tcPr>
            <w:tcW w:w="1418" w:type="dxa"/>
          </w:tcPr>
          <w:p w:rsidR="005C3FD8" w:rsidRDefault="005C3F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sz w:val="22"/>
                <w:lang w:eastAsia="en-US"/>
              </w:rPr>
            </w:pPr>
            <w:r>
              <w:rPr>
                <w:rFonts w:ascii="Calibri" w:hAnsi="Calibri" w:cs="Calibri"/>
                <w:sz w:val="22"/>
                <w:lang w:eastAsia="en-US"/>
              </w:rPr>
              <w:t>7</w:t>
            </w:r>
          </w:p>
        </w:tc>
        <w:tc>
          <w:tcPr>
            <w:tcW w:w="1275" w:type="dxa"/>
          </w:tcPr>
          <w:p w:rsidR="005C3FD8" w:rsidRDefault="005C3F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sz w:val="22"/>
                <w:lang w:eastAsia="en-US"/>
              </w:rPr>
            </w:pPr>
            <w:r>
              <w:rPr>
                <w:rFonts w:ascii="Calibri" w:hAnsi="Calibri" w:cs="Calibri"/>
                <w:sz w:val="22"/>
                <w:lang w:eastAsia="en-US"/>
              </w:rPr>
              <w:t>16</w:t>
            </w:r>
          </w:p>
        </w:tc>
      </w:tr>
      <w:tr w:rsidR="005C3FD8" w:rsidTr="005C3FD8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306" w:type="dxa"/>
          </w:tcPr>
          <w:p w:rsidR="005C3FD8" w:rsidRDefault="005C3FD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2"/>
                <w:lang w:eastAsia="en-US"/>
              </w:rPr>
            </w:pPr>
            <w:r>
              <w:rPr>
                <w:rFonts w:ascii="Calibri" w:hAnsi="Calibri" w:cs="Calibri"/>
                <w:sz w:val="22"/>
                <w:lang w:eastAsia="en-US"/>
              </w:rPr>
              <w:t>Area 5</w:t>
            </w:r>
          </w:p>
        </w:tc>
        <w:tc>
          <w:tcPr>
            <w:tcW w:w="1843" w:type="dxa"/>
          </w:tcPr>
          <w:p w:rsidR="005C3FD8" w:rsidRDefault="005C3F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sz w:val="22"/>
                <w:lang w:eastAsia="en-US"/>
              </w:rPr>
            </w:pPr>
            <w:r>
              <w:rPr>
                <w:rFonts w:ascii="Calibri" w:hAnsi="Calibri" w:cs="Calibri"/>
                <w:sz w:val="22"/>
                <w:lang w:eastAsia="en-US"/>
              </w:rPr>
              <w:t>4</w:t>
            </w:r>
          </w:p>
        </w:tc>
        <w:tc>
          <w:tcPr>
            <w:tcW w:w="1559" w:type="dxa"/>
          </w:tcPr>
          <w:p w:rsidR="005C3FD8" w:rsidRDefault="005C3F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sz w:val="22"/>
                <w:lang w:eastAsia="en-US"/>
              </w:rPr>
            </w:pPr>
            <w:r>
              <w:rPr>
                <w:rFonts w:ascii="Calibri" w:hAnsi="Calibri" w:cs="Calibri"/>
                <w:sz w:val="22"/>
                <w:lang w:eastAsia="en-US"/>
              </w:rPr>
              <w:t>1</w:t>
            </w:r>
          </w:p>
        </w:tc>
        <w:tc>
          <w:tcPr>
            <w:tcW w:w="1418" w:type="dxa"/>
          </w:tcPr>
          <w:p w:rsidR="005C3FD8" w:rsidRDefault="005C3F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sz w:val="22"/>
                <w:lang w:eastAsia="en-US"/>
              </w:rPr>
            </w:pPr>
            <w:r>
              <w:rPr>
                <w:rFonts w:ascii="Calibri" w:hAnsi="Calibri" w:cs="Calibri"/>
                <w:sz w:val="22"/>
                <w:lang w:eastAsia="en-US"/>
              </w:rPr>
              <w:t>16</w:t>
            </w:r>
          </w:p>
        </w:tc>
        <w:tc>
          <w:tcPr>
            <w:tcW w:w="1275" w:type="dxa"/>
          </w:tcPr>
          <w:p w:rsidR="005C3FD8" w:rsidRDefault="005C3F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sz w:val="22"/>
                <w:lang w:eastAsia="en-US"/>
              </w:rPr>
            </w:pPr>
            <w:r>
              <w:rPr>
                <w:rFonts w:ascii="Calibri" w:hAnsi="Calibri" w:cs="Calibri"/>
                <w:sz w:val="22"/>
                <w:lang w:eastAsia="en-US"/>
              </w:rPr>
              <w:t>21</w:t>
            </w:r>
          </w:p>
        </w:tc>
      </w:tr>
      <w:tr w:rsidR="005C3FD8" w:rsidTr="005C3FD8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306" w:type="dxa"/>
          </w:tcPr>
          <w:p w:rsidR="005C3FD8" w:rsidRDefault="005C3F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843" w:type="dxa"/>
          </w:tcPr>
          <w:p w:rsidR="005C3FD8" w:rsidRDefault="005C3F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559" w:type="dxa"/>
          </w:tcPr>
          <w:p w:rsidR="005C3FD8" w:rsidRDefault="005C3F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418" w:type="dxa"/>
          </w:tcPr>
          <w:p w:rsidR="005C3FD8" w:rsidRDefault="005C3F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sz w:val="22"/>
                <w:lang w:eastAsia="en-US"/>
              </w:rPr>
            </w:pPr>
          </w:p>
        </w:tc>
        <w:tc>
          <w:tcPr>
            <w:tcW w:w="1275" w:type="dxa"/>
          </w:tcPr>
          <w:p w:rsidR="005C3FD8" w:rsidRDefault="005C3F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sz w:val="22"/>
                <w:lang w:eastAsia="en-US"/>
              </w:rPr>
            </w:pPr>
          </w:p>
        </w:tc>
      </w:tr>
      <w:tr w:rsidR="005C3FD8" w:rsidTr="005C3FD8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306" w:type="dxa"/>
          </w:tcPr>
          <w:p w:rsidR="005C3FD8" w:rsidRDefault="005C3FD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2"/>
                <w:lang w:eastAsia="en-US"/>
              </w:rPr>
            </w:pPr>
            <w:r>
              <w:rPr>
                <w:rFonts w:ascii="Calibri" w:hAnsi="Calibri" w:cs="Calibri"/>
                <w:sz w:val="22"/>
                <w:lang w:eastAsia="en-US"/>
              </w:rPr>
              <w:t>Total</w:t>
            </w:r>
          </w:p>
        </w:tc>
        <w:tc>
          <w:tcPr>
            <w:tcW w:w="1843" w:type="dxa"/>
          </w:tcPr>
          <w:p w:rsidR="005C3FD8" w:rsidRDefault="005C3F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sz w:val="22"/>
                <w:lang w:eastAsia="en-US"/>
              </w:rPr>
            </w:pPr>
            <w:r>
              <w:rPr>
                <w:rFonts w:ascii="Calibri" w:hAnsi="Calibri" w:cs="Calibri"/>
                <w:sz w:val="22"/>
                <w:lang w:eastAsia="en-US"/>
              </w:rPr>
              <w:t>13</w:t>
            </w:r>
          </w:p>
        </w:tc>
        <w:tc>
          <w:tcPr>
            <w:tcW w:w="1559" w:type="dxa"/>
          </w:tcPr>
          <w:p w:rsidR="005C3FD8" w:rsidRDefault="005C3F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sz w:val="22"/>
                <w:lang w:eastAsia="en-US"/>
              </w:rPr>
            </w:pPr>
            <w:r>
              <w:rPr>
                <w:rFonts w:ascii="Calibri" w:hAnsi="Calibri" w:cs="Calibri"/>
                <w:sz w:val="22"/>
                <w:lang w:eastAsia="en-US"/>
              </w:rPr>
              <w:t>2</w:t>
            </w:r>
          </w:p>
        </w:tc>
        <w:tc>
          <w:tcPr>
            <w:tcW w:w="1418" w:type="dxa"/>
          </w:tcPr>
          <w:p w:rsidR="005C3FD8" w:rsidRDefault="005C3F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sz w:val="22"/>
                <w:lang w:eastAsia="en-US"/>
              </w:rPr>
            </w:pPr>
            <w:r>
              <w:rPr>
                <w:rFonts w:ascii="Calibri" w:hAnsi="Calibri" w:cs="Calibri"/>
                <w:sz w:val="22"/>
                <w:lang w:eastAsia="en-US"/>
              </w:rPr>
              <w:t>23</w:t>
            </w:r>
          </w:p>
        </w:tc>
        <w:tc>
          <w:tcPr>
            <w:tcW w:w="1275" w:type="dxa"/>
          </w:tcPr>
          <w:p w:rsidR="005C3FD8" w:rsidRDefault="005C3F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sz w:val="22"/>
                <w:lang w:eastAsia="en-US"/>
              </w:rPr>
            </w:pPr>
            <w:r>
              <w:rPr>
                <w:rFonts w:ascii="Calibri" w:hAnsi="Calibri" w:cs="Calibri"/>
                <w:sz w:val="22"/>
                <w:lang w:eastAsia="en-US"/>
              </w:rPr>
              <w:t>38</w:t>
            </w:r>
          </w:p>
        </w:tc>
      </w:tr>
    </w:tbl>
    <w:p w:rsidR="005C3FD8" w:rsidRDefault="005C3FD8" w:rsidP="005C3FD8">
      <w:pPr>
        <w:spacing w:after="0" w:line="240" w:lineRule="auto"/>
        <w:rPr>
          <w:szCs w:val="20"/>
        </w:rPr>
      </w:pPr>
    </w:p>
    <w:tbl>
      <w:tblPr>
        <w:tblW w:w="738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1843"/>
        <w:gridCol w:w="1559"/>
        <w:gridCol w:w="1418"/>
        <w:gridCol w:w="1275"/>
      </w:tblGrid>
      <w:tr w:rsidR="005C3FD8" w:rsidRPr="005C3FD8" w:rsidTr="000C09BF">
        <w:trPr>
          <w:trHeight w:val="300"/>
        </w:trPr>
        <w:tc>
          <w:tcPr>
            <w:tcW w:w="7386" w:type="dxa"/>
            <w:gridSpan w:val="5"/>
            <w:shd w:val="clear" w:color="auto" w:fill="auto"/>
            <w:noWrap/>
            <w:vAlign w:val="bottom"/>
            <w:hideMark/>
          </w:tcPr>
          <w:p w:rsidR="005C3FD8" w:rsidRPr="005C3FD8" w:rsidRDefault="005C3FD8" w:rsidP="005C3FD8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 w:val="0"/>
                <w:sz w:val="22"/>
              </w:rPr>
            </w:pPr>
            <w:r w:rsidRPr="005C3FD8">
              <w:rPr>
                <w:rFonts w:ascii="Calibri" w:eastAsia="Times New Roman" w:hAnsi="Calibri" w:cs="Calibri"/>
                <w:b/>
                <w:bCs w:val="0"/>
                <w:color w:val="FF0000"/>
                <w:sz w:val="22"/>
              </w:rPr>
              <w:t>Porpoise catch per tonne of cod</w:t>
            </w:r>
          </w:p>
        </w:tc>
      </w:tr>
      <w:tr w:rsidR="005C3FD8" w:rsidRPr="005C3FD8" w:rsidTr="005C3FD8">
        <w:trPr>
          <w:trHeight w:val="300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5C3FD8" w:rsidRPr="005C3FD8" w:rsidRDefault="005C3FD8" w:rsidP="005C3FD8">
            <w:pPr>
              <w:spacing w:after="0" w:line="240" w:lineRule="auto"/>
              <w:rPr>
                <w:rFonts w:ascii="Calibri" w:eastAsia="Times New Roman" w:hAnsi="Calibri" w:cs="Calibri"/>
                <w:bCs w:val="0"/>
                <w:sz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5C3FD8" w:rsidRPr="005C3FD8" w:rsidRDefault="005C3FD8" w:rsidP="005C3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 w:val="0"/>
                <w:sz w:val="22"/>
              </w:rPr>
            </w:pPr>
            <w:r w:rsidRPr="005C3FD8">
              <w:rPr>
                <w:rFonts w:ascii="Calibri" w:eastAsia="Times New Roman" w:hAnsi="Calibri" w:cs="Calibri"/>
                <w:bCs w:val="0"/>
                <w:sz w:val="22"/>
              </w:rPr>
              <w:t>2006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C3FD8" w:rsidRPr="005C3FD8" w:rsidRDefault="005C3FD8" w:rsidP="005C3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 w:val="0"/>
                <w:sz w:val="22"/>
              </w:rPr>
            </w:pPr>
            <w:r w:rsidRPr="005C3FD8">
              <w:rPr>
                <w:rFonts w:ascii="Calibri" w:eastAsia="Times New Roman" w:hAnsi="Calibri" w:cs="Calibri"/>
                <w:bCs w:val="0"/>
                <w:sz w:val="22"/>
              </w:rPr>
              <w:t>2007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5C3FD8" w:rsidRPr="005C3FD8" w:rsidRDefault="005C3FD8" w:rsidP="005C3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 w:val="0"/>
                <w:sz w:val="22"/>
              </w:rPr>
            </w:pPr>
            <w:r w:rsidRPr="005C3FD8">
              <w:rPr>
                <w:rFonts w:ascii="Calibri" w:eastAsia="Times New Roman" w:hAnsi="Calibri" w:cs="Calibri"/>
                <w:bCs w:val="0"/>
                <w:sz w:val="22"/>
              </w:rPr>
              <w:t>2008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5C3FD8" w:rsidRPr="005C3FD8" w:rsidRDefault="005C3FD8" w:rsidP="005C3FD8">
            <w:pPr>
              <w:spacing w:after="0" w:line="240" w:lineRule="auto"/>
              <w:rPr>
                <w:rFonts w:ascii="Calibri" w:eastAsia="Times New Roman" w:hAnsi="Calibri" w:cs="Calibri"/>
                <w:bCs w:val="0"/>
                <w:sz w:val="22"/>
              </w:rPr>
            </w:pPr>
            <w:r w:rsidRPr="005C3FD8">
              <w:rPr>
                <w:rFonts w:ascii="Calibri" w:eastAsia="Times New Roman" w:hAnsi="Calibri" w:cs="Calibri"/>
                <w:bCs w:val="0"/>
                <w:sz w:val="22"/>
              </w:rPr>
              <w:t>Total</w:t>
            </w:r>
          </w:p>
        </w:tc>
      </w:tr>
      <w:tr w:rsidR="005C3FD8" w:rsidRPr="005C3FD8" w:rsidTr="005C3FD8">
        <w:trPr>
          <w:trHeight w:val="300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5C3FD8" w:rsidRPr="005C3FD8" w:rsidRDefault="005C3FD8" w:rsidP="005C3FD8">
            <w:pPr>
              <w:spacing w:after="0" w:line="240" w:lineRule="auto"/>
              <w:rPr>
                <w:rFonts w:ascii="Calibri" w:eastAsia="Times New Roman" w:hAnsi="Calibri" w:cs="Calibri"/>
                <w:bCs w:val="0"/>
                <w:sz w:val="22"/>
              </w:rPr>
            </w:pPr>
            <w:r w:rsidRPr="005C3FD8">
              <w:rPr>
                <w:rFonts w:ascii="Calibri" w:eastAsia="Times New Roman" w:hAnsi="Calibri" w:cs="Calibri"/>
                <w:bCs w:val="0"/>
                <w:sz w:val="22"/>
              </w:rPr>
              <w:t>Area 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5C3FD8" w:rsidRPr="005C3FD8" w:rsidRDefault="005C3FD8" w:rsidP="005C3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 w:val="0"/>
                <w:sz w:val="22"/>
              </w:rPr>
            </w:pPr>
            <w:r w:rsidRPr="005C3FD8">
              <w:rPr>
                <w:rFonts w:ascii="Calibri" w:eastAsia="Times New Roman" w:hAnsi="Calibri" w:cs="Calibri"/>
                <w:bCs w:val="0"/>
                <w:sz w:val="22"/>
              </w:rPr>
              <w:t>0.048423805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C3FD8" w:rsidRPr="005C3FD8" w:rsidRDefault="005C3FD8" w:rsidP="005C3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 w:val="0"/>
                <w:sz w:val="22"/>
              </w:rPr>
            </w:pPr>
            <w:r w:rsidRPr="005C3FD8">
              <w:rPr>
                <w:rFonts w:ascii="Calibri" w:eastAsia="Times New Roman" w:hAnsi="Calibri" w:cs="Calibri"/>
                <w:bCs w:val="0"/>
                <w:sz w:val="22"/>
              </w:rPr>
              <w:t>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5C3FD8" w:rsidRPr="005C3FD8" w:rsidRDefault="005C3FD8" w:rsidP="005C3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 w:val="0"/>
                <w:sz w:val="22"/>
              </w:rPr>
            </w:pPr>
            <w:r w:rsidRPr="005C3FD8">
              <w:rPr>
                <w:rFonts w:ascii="Calibri" w:eastAsia="Times New Roman" w:hAnsi="Calibri" w:cs="Calibri"/>
                <w:bCs w:val="0"/>
                <w:sz w:val="22"/>
              </w:rPr>
              <w:t>0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5C3FD8" w:rsidRPr="005C3FD8" w:rsidRDefault="005C3FD8" w:rsidP="005C3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 w:val="0"/>
                <w:sz w:val="22"/>
              </w:rPr>
            </w:pPr>
            <w:r w:rsidRPr="005C3FD8">
              <w:rPr>
                <w:rFonts w:ascii="Calibri" w:eastAsia="Times New Roman" w:hAnsi="Calibri" w:cs="Calibri"/>
                <w:bCs w:val="0"/>
                <w:sz w:val="22"/>
              </w:rPr>
              <w:t>0.026301</w:t>
            </w:r>
          </w:p>
        </w:tc>
      </w:tr>
      <w:tr w:rsidR="005C3FD8" w:rsidRPr="005C3FD8" w:rsidTr="005C3FD8">
        <w:trPr>
          <w:trHeight w:val="300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5C3FD8" w:rsidRPr="005C3FD8" w:rsidRDefault="005C3FD8" w:rsidP="005C3FD8">
            <w:pPr>
              <w:spacing w:after="0" w:line="240" w:lineRule="auto"/>
              <w:rPr>
                <w:rFonts w:ascii="Calibri" w:eastAsia="Times New Roman" w:hAnsi="Calibri" w:cs="Calibri"/>
                <w:bCs w:val="0"/>
                <w:sz w:val="22"/>
              </w:rPr>
            </w:pPr>
            <w:r w:rsidRPr="005C3FD8">
              <w:rPr>
                <w:rFonts w:ascii="Calibri" w:eastAsia="Times New Roman" w:hAnsi="Calibri" w:cs="Calibri"/>
                <w:bCs w:val="0"/>
                <w:sz w:val="22"/>
              </w:rPr>
              <w:t>Area 4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5C3FD8" w:rsidRPr="005C3FD8" w:rsidRDefault="005C3FD8" w:rsidP="005C3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 w:val="0"/>
                <w:sz w:val="22"/>
              </w:rPr>
            </w:pPr>
            <w:r w:rsidRPr="005C3FD8">
              <w:rPr>
                <w:rFonts w:ascii="Calibri" w:eastAsia="Times New Roman" w:hAnsi="Calibri" w:cs="Calibri"/>
                <w:bCs w:val="0"/>
                <w:sz w:val="22"/>
              </w:rPr>
              <w:t>0.021558926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C3FD8" w:rsidRPr="005C3FD8" w:rsidRDefault="005C3FD8" w:rsidP="005C3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 w:val="0"/>
                <w:sz w:val="22"/>
              </w:rPr>
            </w:pPr>
            <w:r w:rsidRPr="005C3FD8">
              <w:rPr>
                <w:rFonts w:ascii="Calibri" w:eastAsia="Times New Roman" w:hAnsi="Calibri" w:cs="Calibri"/>
                <w:bCs w:val="0"/>
                <w:sz w:val="22"/>
              </w:rPr>
              <w:t>0.005402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5C3FD8" w:rsidRPr="005C3FD8" w:rsidRDefault="005C3FD8" w:rsidP="005C3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 w:val="0"/>
                <w:sz w:val="22"/>
              </w:rPr>
            </w:pPr>
            <w:r w:rsidRPr="005C3FD8">
              <w:rPr>
                <w:rFonts w:ascii="Calibri" w:eastAsia="Times New Roman" w:hAnsi="Calibri" w:cs="Calibri"/>
                <w:bCs w:val="0"/>
                <w:sz w:val="22"/>
              </w:rPr>
              <w:t>0.029834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5C3FD8" w:rsidRPr="005C3FD8" w:rsidRDefault="005C3FD8" w:rsidP="005C3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 w:val="0"/>
                <w:sz w:val="22"/>
              </w:rPr>
            </w:pPr>
            <w:r w:rsidRPr="005C3FD8">
              <w:rPr>
                <w:rFonts w:ascii="Calibri" w:eastAsia="Times New Roman" w:hAnsi="Calibri" w:cs="Calibri"/>
                <w:bCs w:val="0"/>
                <w:sz w:val="22"/>
              </w:rPr>
              <w:t>0.020232</w:t>
            </w:r>
          </w:p>
        </w:tc>
      </w:tr>
      <w:tr w:rsidR="005C3FD8" w:rsidRPr="005C3FD8" w:rsidTr="005C3FD8">
        <w:trPr>
          <w:trHeight w:val="300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5C3FD8" w:rsidRPr="005C3FD8" w:rsidRDefault="005C3FD8" w:rsidP="005C3FD8">
            <w:pPr>
              <w:spacing w:after="0" w:line="240" w:lineRule="auto"/>
              <w:rPr>
                <w:rFonts w:ascii="Calibri" w:eastAsia="Times New Roman" w:hAnsi="Calibri" w:cs="Calibri"/>
                <w:bCs w:val="0"/>
                <w:sz w:val="22"/>
              </w:rPr>
            </w:pPr>
            <w:r w:rsidRPr="005C3FD8">
              <w:rPr>
                <w:rFonts w:ascii="Calibri" w:eastAsia="Times New Roman" w:hAnsi="Calibri" w:cs="Calibri"/>
                <w:bCs w:val="0"/>
                <w:sz w:val="22"/>
              </w:rPr>
              <w:t>Area 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5C3FD8" w:rsidRPr="005C3FD8" w:rsidRDefault="005C3FD8" w:rsidP="005C3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 w:val="0"/>
                <w:sz w:val="22"/>
              </w:rPr>
            </w:pPr>
            <w:r w:rsidRPr="005C3FD8">
              <w:rPr>
                <w:rFonts w:ascii="Calibri" w:eastAsia="Times New Roman" w:hAnsi="Calibri" w:cs="Calibri"/>
                <w:bCs w:val="0"/>
                <w:sz w:val="22"/>
              </w:rPr>
              <w:t>0.014085549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C3FD8" w:rsidRPr="005C3FD8" w:rsidRDefault="005C3FD8" w:rsidP="005C3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 w:val="0"/>
                <w:sz w:val="22"/>
              </w:rPr>
            </w:pPr>
            <w:r w:rsidRPr="005C3FD8">
              <w:rPr>
                <w:rFonts w:ascii="Calibri" w:eastAsia="Times New Roman" w:hAnsi="Calibri" w:cs="Calibri"/>
                <w:bCs w:val="0"/>
                <w:sz w:val="22"/>
              </w:rPr>
              <w:t>0.003366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5C3FD8" w:rsidRPr="005C3FD8" w:rsidRDefault="005C3FD8" w:rsidP="005C3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 w:val="0"/>
                <w:sz w:val="22"/>
              </w:rPr>
            </w:pPr>
            <w:r w:rsidRPr="005C3FD8">
              <w:rPr>
                <w:rFonts w:ascii="Calibri" w:eastAsia="Times New Roman" w:hAnsi="Calibri" w:cs="Calibri"/>
                <w:bCs w:val="0"/>
                <w:sz w:val="22"/>
              </w:rPr>
              <w:t>0.05448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5C3FD8" w:rsidRPr="005C3FD8" w:rsidRDefault="005C3FD8" w:rsidP="005C3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 w:val="0"/>
                <w:sz w:val="22"/>
              </w:rPr>
            </w:pPr>
            <w:r w:rsidRPr="005C3FD8">
              <w:rPr>
                <w:rFonts w:ascii="Calibri" w:eastAsia="Times New Roman" w:hAnsi="Calibri" w:cs="Calibri"/>
                <w:bCs w:val="0"/>
                <w:sz w:val="22"/>
              </w:rPr>
              <w:t>0.024007</w:t>
            </w:r>
          </w:p>
        </w:tc>
      </w:tr>
      <w:tr w:rsidR="005C3FD8" w:rsidRPr="005C3FD8" w:rsidTr="005C3FD8">
        <w:trPr>
          <w:trHeight w:val="300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5C3FD8" w:rsidRPr="005C3FD8" w:rsidRDefault="005C3FD8" w:rsidP="005C3FD8">
            <w:pPr>
              <w:spacing w:after="0" w:line="240" w:lineRule="auto"/>
              <w:rPr>
                <w:rFonts w:ascii="Calibri" w:eastAsia="Times New Roman" w:hAnsi="Calibri" w:cs="Calibri"/>
                <w:bCs w:val="0"/>
                <w:sz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5C3FD8" w:rsidRPr="005C3FD8" w:rsidRDefault="005C3FD8" w:rsidP="005C3FD8">
            <w:pPr>
              <w:spacing w:after="0" w:line="240" w:lineRule="auto"/>
              <w:rPr>
                <w:rFonts w:ascii="Calibri" w:eastAsia="Times New Roman" w:hAnsi="Calibri" w:cs="Calibri"/>
                <w:bCs w:val="0"/>
                <w:sz w:val="22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C3FD8" w:rsidRPr="005C3FD8" w:rsidRDefault="005C3FD8" w:rsidP="005C3FD8">
            <w:pPr>
              <w:spacing w:after="0" w:line="240" w:lineRule="auto"/>
              <w:rPr>
                <w:rFonts w:ascii="Calibri" w:eastAsia="Times New Roman" w:hAnsi="Calibri" w:cs="Calibri"/>
                <w:bCs w:val="0"/>
                <w:sz w:val="22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5C3FD8" w:rsidRPr="005C3FD8" w:rsidRDefault="005C3FD8" w:rsidP="005C3FD8">
            <w:pPr>
              <w:spacing w:after="0" w:line="240" w:lineRule="auto"/>
              <w:rPr>
                <w:rFonts w:ascii="Calibri" w:eastAsia="Times New Roman" w:hAnsi="Calibri" w:cs="Calibri"/>
                <w:bCs w:val="0"/>
                <w:sz w:val="22"/>
              </w:rPr>
            </w:pP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5C3FD8" w:rsidRPr="005C3FD8" w:rsidRDefault="005C3FD8" w:rsidP="005C3FD8">
            <w:pPr>
              <w:spacing w:after="0" w:line="240" w:lineRule="auto"/>
              <w:rPr>
                <w:rFonts w:ascii="Calibri" w:eastAsia="Times New Roman" w:hAnsi="Calibri" w:cs="Calibri"/>
                <w:bCs w:val="0"/>
                <w:sz w:val="22"/>
              </w:rPr>
            </w:pPr>
          </w:p>
        </w:tc>
      </w:tr>
      <w:tr w:rsidR="005C3FD8" w:rsidRPr="005C3FD8" w:rsidTr="005C3FD8">
        <w:trPr>
          <w:trHeight w:val="300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5C3FD8" w:rsidRPr="005C3FD8" w:rsidRDefault="005C3FD8" w:rsidP="005C3FD8">
            <w:pPr>
              <w:spacing w:after="0" w:line="240" w:lineRule="auto"/>
              <w:rPr>
                <w:rFonts w:ascii="Calibri" w:eastAsia="Times New Roman" w:hAnsi="Calibri" w:cs="Calibri"/>
                <w:bCs w:val="0"/>
                <w:sz w:val="22"/>
              </w:rPr>
            </w:pPr>
            <w:r w:rsidRPr="005C3FD8">
              <w:rPr>
                <w:rFonts w:ascii="Calibri" w:eastAsia="Times New Roman" w:hAnsi="Calibri" w:cs="Calibri"/>
                <w:bCs w:val="0"/>
                <w:sz w:val="22"/>
              </w:rPr>
              <w:t>Total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5C3FD8" w:rsidRPr="005C3FD8" w:rsidRDefault="005C3FD8" w:rsidP="005C3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 w:val="0"/>
                <w:sz w:val="22"/>
              </w:rPr>
            </w:pPr>
            <w:r w:rsidRPr="005C3FD8">
              <w:rPr>
                <w:rFonts w:ascii="Calibri" w:eastAsia="Times New Roman" w:hAnsi="Calibri" w:cs="Calibri"/>
                <w:bCs w:val="0"/>
                <w:sz w:val="22"/>
              </w:rPr>
              <w:t>0.019239137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:rsidR="005C3FD8" w:rsidRPr="005C3FD8" w:rsidRDefault="005C3FD8" w:rsidP="005C3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 w:val="0"/>
                <w:sz w:val="22"/>
              </w:rPr>
            </w:pPr>
            <w:r w:rsidRPr="005C3FD8">
              <w:rPr>
                <w:rFonts w:ascii="Calibri" w:eastAsia="Times New Roman" w:hAnsi="Calibri" w:cs="Calibri"/>
                <w:bCs w:val="0"/>
                <w:sz w:val="22"/>
              </w:rPr>
              <w:t>0.004132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5C3FD8" w:rsidRPr="005C3FD8" w:rsidRDefault="005C3FD8" w:rsidP="005C3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Cs w:val="0"/>
                <w:sz w:val="22"/>
              </w:rPr>
            </w:pPr>
            <w:r w:rsidRPr="005C3FD8">
              <w:rPr>
                <w:rFonts w:ascii="Calibri" w:eastAsia="Times New Roman" w:hAnsi="Calibri" w:cs="Calibri"/>
                <w:bCs w:val="0"/>
                <w:sz w:val="22"/>
              </w:rPr>
              <w:t>0.042295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:rsidR="005C3FD8" w:rsidRPr="005C3FD8" w:rsidRDefault="005C3FD8" w:rsidP="005C3F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 w:val="0"/>
                <w:sz w:val="22"/>
              </w:rPr>
            </w:pPr>
            <w:r w:rsidRPr="005C3FD8">
              <w:rPr>
                <w:rFonts w:ascii="Calibri" w:eastAsia="Times New Roman" w:hAnsi="Calibri" w:cs="Calibri"/>
                <w:b/>
                <w:bCs w:val="0"/>
                <w:color w:val="FF0000"/>
                <w:sz w:val="22"/>
              </w:rPr>
              <w:t>0.022306</w:t>
            </w:r>
          </w:p>
        </w:tc>
      </w:tr>
    </w:tbl>
    <w:p w:rsidR="005C3FD8" w:rsidRDefault="005C3FD8" w:rsidP="005C3FD8">
      <w:pPr>
        <w:spacing w:after="0" w:line="240" w:lineRule="auto"/>
        <w:rPr>
          <w:szCs w:val="20"/>
        </w:rPr>
      </w:pPr>
    </w:p>
    <w:p w:rsidR="005C3FD8" w:rsidRDefault="005C3FD8" w:rsidP="005C3FD8">
      <w:pPr>
        <w:spacing w:after="0" w:line="240" w:lineRule="auto"/>
        <w:rPr>
          <w:szCs w:val="20"/>
        </w:rPr>
      </w:pPr>
    </w:p>
    <w:p w:rsidR="005C3FD8" w:rsidRDefault="005C3FD8" w:rsidP="005C3FD8">
      <w:pPr>
        <w:spacing w:after="0" w:line="240" w:lineRule="auto"/>
        <w:rPr>
          <w:szCs w:val="20"/>
        </w:rPr>
      </w:pPr>
      <w:r>
        <w:rPr>
          <w:szCs w:val="20"/>
        </w:rPr>
        <w:t>Option 2 sounds like least work….</w:t>
      </w:r>
    </w:p>
    <w:p w:rsidR="005C3FD8" w:rsidRDefault="005C3FD8" w:rsidP="005C3FD8">
      <w:pPr>
        <w:spacing w:after="0" w:line="240" w:lineRule="auto"/>
        <w:rPr>
          <w:szCs w:val="20"/>
        </w:rPr>
      </w:pPr>
    </w:p>
    <w:p w:rsidR="005C3FD8" w:rsidRPr="005C3FD8" w:rsidRDefault="005C3FD8" w:rsidP="005C3FD8">
      <w:pPr>
        <w:spacing w:after="0" w:line="240" w:lineRule="auto"/>
        <w:rPr>
          <w:szCs w:val="20"/>
        </w:rPr>
      </w:pPr>
      <w:bookmarkStart w:id="0" w:name="_GoBack"/>
      <w:bookmarkEnd w:id="0"/>
    </w:p>
    <w:sectPr w:rsidR="005C3FD8" w:rsidRPr="005C3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C207D"/>
    <w:multiLevelType w:val="hybridMultilevel"/>
    <w:tmpl w:val="308E062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6E2"/>
    <w:rsid w:val="0026743B"/>
    <w:rsid w:val="002B242A"/>
    <w:rsid w:val="005106E2"/>
    <w:rsid w:val="00554BAD"/>
    <w:rsid w:val="005C3FD8"/>
    <w:rsid w:val="007663B4"/>
    <w:rsid w:val="00B264F2"/>
    <w:rsid w:val="00D32E3C"/>
    <w:rsid w:val="00E5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NewRomanPSMT"/>
        <w:bCs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color w:val="000000"/>
      <w:sz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106E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106E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E3C"/>
    <w:rPr>
      <w:rFonts w:ascii="Tahoma" w:hAnsi="Tahoma" w:cs="Tahoma"/>
      <w:color w:val="000000"/>
      <w:sz w:val="16"/>
      <w:szCs w:val="16"/>
      <w:lang w:eastAsia="en-GB"/>
    </w:rPr>
  </w:style>
  <w:style w:type="paragraph" w:styleId="ListParagraph">
    <w:name w:val="List Paragraph"/>
    <w:basedOn w:val="Normal"/>
    <w:uiPriority w:val="34"/>
    <w:qFormat/>
    <w:rsid w:val="00554B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NewRomanPSMT"/>
        <w:bCs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color w:val="000000"/>
      <w:sz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106E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106E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E3C"/>
    <w:rPr>
      <w:rFonts w:ascii="Tahoma" w:hAnsi="Tahoma" w:cs="Tahoma"/>
      <w:color w:val="000000"/>
      <w:sz w:val="16"/>
      <w:szCs w:val="16"/>
      <w:lang w:eastAsia="en-GB"/>
    </w:rPr>
  </w:style>
  <w:style w:type="paragraph" w:styleId="ListParagraph">
    <w:name w:val="List Paragraph"/>
    <w:basedOn w:val="Normal"/>
    <w:uiPriority w:val="34"/>
    <w:qFormat/>
    <w:rsid w:val="00554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6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hyperlink" Target="https://doi.org/10.1016/j.biocon.2013.03.0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ces.dk/sites/pub/Publication%20Reports/Advice/2019/2019/EcosystemOverview_BarentsSea_2019.pd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Heath</dc:creator>
  <cp:lastModifiedBy>Michael Heath</cp:lastModifiedBy>
  <cp:revision>1</cp:revision>
  <dcterms:created xsi:type="dcterms:W3CDTF">2021-02-18T22:33:00Z</dcterms:created>
  <dcterms:modified xsi:type="dcterms:W3CDTF">2021-02-18T23:41:00Z</dcterms:modified>
</cp:coreProperties>
</file>