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3B" w:rsidRDefault="005106E2" w:rsidP="005106E2">
      <w:pPr>
        <w:spacing w:after="0" w:line="240" w:lineRule="auto"/>
        <w:rPr>
          <w:sz w:val="28"/>
          <w:szCs w:val="28"/>
        </w:rPr>
      </w:pPr>
      <w:r w:rsidRPr="005106E2">
        <w:rPr>
          <w:sz w:val="28"/>
          <w:szCs w:val="28"/>
        </w:rPr>
        <w:t xml:space="preserve">Harbour porpoise bycatch in gillnets </w:t>
      </w:r>
      <w:r w:rsidR="00C757B7">
        <w:rPr>
          <w:sz w:val="28"/>
          <w:szCs w:val="28"/>
        </w:rPr>
        <w:t>in the Barents Sea</w:t>
      </w:r>
      <w:bookmarkStart w:id="0" w:name="_GoBack"/>
      <w:bookmarkEnd w:id="0"/>
    </w:p>
    <w:p w:rsidR="005106E2" w:rsidRDefault="005106E2" w:rsidP="005106E2">
      <w:pPr>
        <w:spacing w:after="0" w:line="240" w:lineRule="auto"/>
        <w:rPr>
          <w:sz w:val="28"/>
          <w:szCs w:val="28"/>
        </w:rPr>
      </w:pPr>
    </w:p>
    <w:p w:rsidR="005106E2" w:rsidRDefault="0074068F" w:rsidP="0074068F">
      <w:pPr>
        <w:pStyle w:val="Default"/>
        <w:rPr>
          <w:szCs w:val="20"/>
        </w:rPr>
      </w:pPr>
      <w:r w:rsidRPr="005865DE">
        <w:rPr>
          <w:rFonts w:ascii="Arial" w:hAnsi="Arial" w:cs="Arial"/>
          <w:color w:val="auto"/>
          <w:sz w:val="20"/>
          <w:szCs w:val="20"/>
        </w:rPr>
        <w:t xml:space="preserve">The </w:t>
      </w:r>
      <w:r w:rsidRPr="005865DE">
        <w:rPr>
          <w:rFonts w:ascii="Arial" w:hAnsi="Arial" w:cs="Arial"/>
          <w:iCs/>
          <w:color w:val="auto"/>
          <w:sz w:val="20"/>
          <w:szCs w:val="20"/>
        </w:rPr>
        <w:t>ICES Fisheries Overview of the Barents Sea Ecoregion (ICES 2019)</w:t>
      </w:r>
      <w:r>
        <w:rPr>
          <w:rFonts w:ascii="Arial" w:hAnsi="Arial" w:cs="Arial"/>
          <w:iCs/>
          <w:color w:val="auto"/>
          <w:sz w:val="20"/>
          <w:szCs w:val="20"/>
        </w:rPr>
        <w:t xml:space="preserve"> </w:t>
      </w:r>
      <w:r>
        <w:rPr>
          <w:rFonts w:ascii="Arial" w:hAnsi="Arial" w:cs="Arial"/>
          <w:iCs/>
          <w:color w:val="auto"/>
          <w:sz w:val="20"/>
          <w:szCs w:val="20"/>
        </w:rPr>
        <w:t>(p</w:t>
      </w:r>
      <w:r w:rsidR="005106E2">
        <w:rPr>
          <w:szCs w:val="20"/>
        </w:rPr>
        <w:t>age 20</w:t>
      </w:r>
      <w:r>
        <w:rPr>
          <w:szCs w:val="20"/>
        </w:rPr>
        <w:t xml:space="preserve">) states </w:t>
      </w:r>
      <w:proofErr w:type="gramStart"/>
      <w:r>
        <w:rPr>
          <w:szCs w:val="20"/>
        </w:rPr>
        <w:t xml:space="preserve">that </w:t>
      </w:r>
      <w:r w:rsidR="005106E2">
        <w:rPr>
          <w:szCs w:val="20"/>
        </w:rPr>
        <w:t xml:space="preserve"> “</w:t>
      </w:r>
      <w:proofErr w:type="gramEnd"/>
      <w:r w:rsidR="005106E2">
        <w:rPr>
          <w:szCs w:val="20"/>
        </w:rPr>
        <w:t xml:space="preserve">The harbour porpoise is subject to bycatch in the gillnet fishery (targeting cod, monkfish, and </w:t>
      </w:r>
      <w:proofErr w:type="spellStart"/>
      <w:r w:rsidR="005106E2">
        <w:rPr>
          <w:szCs w:val="20"/>
        </w:rPr>
        <w:t>saithe</w:t>
      </w:r>
      <w:proofErr w:type="spellEnd"/>
      <w:r w:rsidR="005106E2">
        <w:rPr>
          <w:szCs w:val="20"/>
        </w:rPr>
        <w:t xml:space="preserve">), and </w:t>
      </w:r>
      <w:r w:rsidR="005106E2" w:rsidRPr="005106E2">
        <w:rPr>
          <w:color w:val="FF0000"/>
          <w:szCs w:val="20"/>
        </w:rPr>
        <w:t>bycatch is estimated to be around 7000 individuals across the whole area</w:t>
      </w:r>
      <w:r w:rsidR="005106E2">
        <w:rPr>
          <w:szCs w:val="20"/>
        </w:rPr>
        <w:t>; the impact on population is, however, not known.”</w:t>
      </w:r>
    </w:p>
    <w:p w:rsidR="0074068F" w:rsidRDefault="0074068F" w:rsidP="005106E2">
      <w:pPr>
        <w:pStyle w:val="Default"/>
        <w:rPr>
          <w:rFonts w:ascii="Arial" w:hAnsi="Arial" w:cs="Arial"/>
          <w:sz w:val="20"/>
          <w:szCs w:val="20"/>
        </w:rPr>
      </w:pPr>
    </w:p>
    <w:p w:rsidR="00D32E3C" w:rsidRDefault="009668C0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However, </w:t>
      </w:r>
      <w:r w:rsidR="0074068F">
        <w:rPr>
          <w:rFonts w:ascii="Arial" w:hAnsi="Arial" w:cs="Arial"/>
          <w:sz w:val="20"/>
          <w:szCs w:val="20"/>
        </w:rPr>
        <w:t>the source for this statement (</w:t>
      </w:r>
      <w:proofErr w:type="spellStart"/>
      <w:proofErr w:type="gramStart"/>
      <w:r>
        <w:rPr>
          <w:szCs w:val="20"/>
        </w:rPr>
        <w:t>Bjørge</w:t>
      </w:r>
      <w:proofErr w:type="spellEnd"/>
      <w:r w:rsidRPr="005106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et</w:t>
      </w:r>
      <w:proofErr w:type="gramEnd"/>
      <w:r>
        <w:rPr>
          <w:rFonts w:ascii="Arial" w:hAnsi="Arial" w:cs="Arial"/>
          <w:sz w:val="20"/>
          <w:szCs w:val="20"/>
        </w:rPr>
        <w:t xml:space="preserve"> al. 2013</w:t>
      </w:r>
      <w:r w:rsidR="0074068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report</w:t>
      </w:r>
      <w:r w:rsidR="0074068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</w:t>
      </w:r>
      <w:r w:rsidR="005106E2" w:rsidRPr="005106E2">
        <w:rPr>
          <w:rFonts w:ascii="Arial" w:hAnsi="Arial" w:cs="Arial"/>
          <w:sz w:val="20"/>
          <w:szCs w:val="20"/>
        </w:rPr>
        <w:t>“…</w:t>
      </w:r>
      <w:r w:rsidR="005106E2" w:rsidRPr="005106E2">
        <w:rPr>
          <w:rFonts w:ascii="Arial" w:hAnsi="Arial" w:cs="Arial"/>
          <w:color w:val="auto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>about 6900 harbour porpoises are taken annually in</w:t>
      </w:r>
      <w:r w:rsidR="005106E2">
        <w:rPr>
          <w:rFonts w:ascii="Arial" w:hAnsi="Arial" w:cs="Arial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 xml:space="preserve">the </w:t>
      </w:r>
      <w:r w:rsidR="005106E2" w:rsidRPr="005106E2">
        <w:rPr>
          <w:rFonts w:ascii="Arial" w:hAnsi="Arial" w:cs="Arial"/>
          <w:color w:val="FF0000"/>
          <w:sz w:val="20"/>
          <w:szCs w:val="20"/>
        </w:rPr>
        <w:t xml:space="preserve">coastal </w:t>
      </w:r>
      <w:r w:rsidR="005106E2" w:rsidRPr="005106E2">
        <w:rPr>
          <w:rFonts w:ascii="Arial" w:hAnsi="Arial" w:cs="Arial"/>
          <w:sz w:val="20"/>
          <w:szCs w:val="20"/>
        </w:rPr>
        <w:t>monkfish</w:t>
      </w:r>
      <w:r w:rsidR="005106E2">
        <w:rPr>
          <w:rFonts w:ascii="Arial" w:hAnsi="Arial" w:cs="Arial"/>
          <w:sz w:val="20"/>
          <w:szCs w:val="20"/>
        </w:rPr>
        <w:t xml:space="preserve"> </w:t>
      </w:r>
      <w:r w:rsidR="005106E2" w:rsidRPr="005106E2">
        <w:rPr>
          <w:rFonts w:ascii="Arial" w:hAnsi="Arial" w:cs="Arial"/>
          <w:sz w:val="20"/>
          <w:szCs w:val="20"/>
        </w:rPr>
        <w:t xml:space="preserve">and cod gillnet </w:t>
      </w:r>
      <w:r w:rsidR="005106E2">
        <w:rPr>
          <w:rFonts w:ascii="Arial" w:hAnsi="Arial" w:cs="Arial"/>
          <w:sz w:val="20"/>
          <w:szCs w:val="20"/>
        </w:rPr>
        <w:t>f</w:t>
      </w:r>
      <w:r w:rsidR="005106E2" w:rsidRPr="005106E2">
        <w:rPr>
          <w:rFonts w:ascii="Arial" w:hAnsi="Arial" w:cs="Arial"/>
          <w:sz w:val="20"/>
          <w:szCs w:val="20"/>
        </w:rPr>
        <w:t>isheries.”</w:t>
      </w:r>
      <w:r>
        <w:rPr>
          <w:rFonts w:ascii="Arial" w:hAnsi="Arial" w:cs="Arial"/>
          <w:sz w:val="20"/>
          <w:szCs w:val="20"/>
        </w:rPr>
        <w:t xml:space="preserve"> </w:t>
      </w:r>
      <w:r w:rsidR="0074068F">
        <w:rPr>
          <w:rFonts w:ascii="Arial" w:hAnsi="Arial" w:cs="Arial"/>
          <w:sz w:val="20"/>
          <w:szCs w:val="20"/>
        </w:rPr>
        <w:t>- referring</w:t>
      </w:r>
      <w:r>
        <w:rPr>
          <w:rFonts w:ascii="Arial" w:hAnsi="Arial" w:cs="Arial"/>
          <w:sz w:val="20"/>
          <w:szCs w:val="20"/>
        </w:rPr>
        <w:t xml:space="preserve"> to </w:t>
      </w:r>
      <w:r w:rsidR="0074068F">
        <w:rPr>
          <w:rFonts w:ascii="Arial" w:hAnsi="Arial" w:cs="Arial"/>
          <w:sz w:val="20"/>
          <w:szCs w:val="20"/>
        </w:rPr>
        <w:t xml:space="preserve">the </w:t>
      </w:r>
      <w:r w:rsidR="00D32E3C">
        <w:rPr>
          <w:rFonts w:ascii="Arial" w:hAnsi="Arial" w:cs="Arial"/>
          <w:sz w:val="20"/>
          <w:szCs w:val="20"/>
        </w:rPr>
        <w:t>whole of Norway not just the Barents Sea</w:t>
      </w:r>
      <w:r w:rsidR="0074068F">
        <w:rPr>
          <w:rFonts w:ascii="Arial" w:hAnsi="Arial" w:cs="Arial"/>
          <w:sz w:val="20"/>
          <w:szCs w:val="20"/>
        </w:rPr>
        <w:t xml:space="preserve"> (Figure 1).</w:t>
      </w: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3038406" cy="4201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978" cy="42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3C" w:rsidRPr="005106E2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5106E2" w:rsidRPr="007607EE" w:rsidRDefault="0074068F" w:rsidP="005106E2">
      <w:pPr>
        <w:spacing w:after="0" w:line="240" w:lineRule="auto"/>
        <w:rPr>
          <w:i/>
          <w:sz w:val="18"/>
          <w:szCs w:val="18"/>
        </w:rPr>
      </w:pPr>
      <w:proofErr w:type="gramStart"/>
      <w:r>
        <w:rPr>
          <w:i/>
          <w:szCs w:val="20"/>
        </w:rPr>
        <w:t>Figure 1.</w:t>
      </w:r>
      <w:proofErr w:type="gramEnd"/>
      <w:r>
        <w:rPr>
          <w:i/>
          <w:szCs w:val="20"/>
        </w:rPr>
        <w:t xml:space="preserve"> </w:t>
      </w:r>
      <w:proofErr w:type="spellStart"/>
      <w:r w:rsidR="007607EE" w:rsidRPr="007607EE">
        <w:rPr>
          <w:i/>
          <w:szCs w:val="20"/>
        </w:rPr>
        <w:t>Bjørge</w:t>
      </w:r>
      <w:proofErr w:type="spellEnd"/>
      <w:r w:rsidR="007607EE" w:rsidRPr="007607EE">
        <w:rPr>
          <w:i/>
          <w:sz w:val="18"/>
          <w:szCs w:val="18"/>
        </w:rPr>
        <w:t xml:space="preserve">  et al 2013 </w:t>
      </w:r>
      <w:r w:rsidR="00D32E3C" w:rsidRPr="007607EE">
        <w:rPr>
          <w:i/>
          <w:sz w:val="18"/>
          <w:szCs w:val="18"/>
        </w:rPr>
        <w:t>Fig.1.Nine domestic Norwegian coastal fishery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statistics areas and the distribution of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porpoises caught on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gillnets set for monkfish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or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cod by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the monitored segment of</w:t>
      </w:r>
      <w:r w:rsidR="007607EE" w:rsidRPr="007607EE">
        <w:rPr>
          <w:i/>
          <w:sz w:val="18"/>
          <w:szCs w:val="18"/>
        </w:rPr>
        <w:t xml:space="preserve"> </w:t>
      </w:r>
      <w:r w:rsidR="00D32E3C" w:rsidRPr="007607EE">
        <w:rPr>
          <w:i/>
          <w:sz w:val="18"/>
          <w:szCs w:val="18"/>
        </w:rPr>
        <w:t>the fleet(CRF)</w:t>
      </w:r>
      <w:r w:rsidR="007607EE" w:rsidRPr="007607EE">
        <w:rPr>
          <w:i/>
          <w:sz w:val="18"/>
          <w:szCs w:val="18"/>
        </w:rPr>
        <w:t xml:space="preserve"> in 2006, 2007</w:t>
      </w:r>
      <w:r w:rsidR="00D32E3C" w:rsidRPr="007607EE">
        <w:rPr>
          <w:i/>
          <w:sz w:val="18"/>
          <w:szCs w:val="18"/>
        </w:rPr>
        <w:t>and 2008.</w:t>
      </w:r>
    </w:p>
    <w:p w:rsidR="007607EE" w:rsidRPr="00D32E3C" w:rsidRDefault="007607EE" w:rsidP="005106E2">
      <w:pPr>
        <w:spacing w:after="0" w:line="240" w:lineRule="auto"/>
        <w:rPr>
          <w:sz w:val="18"/>
          <w:szCs w:val="18"/>
        </w:rPr>
      </w:pPr>
    </w:p>
    <w:p w:rsidR="00D32E3C" w:rsidRDefault="00D32E3C" w:rsidP="005106E2">
      <w:pPr>
        <w:spacing w:after="0" w:line="240" w:lineRule="auto"/>
        <w:rPr>
          <w:szCs w:val="20"/>
        </w:rPr>
      </w:pPr>
    </w:p>
    <w:p w:rsidR="005C3FD8" w:rsidRDefault="009668C0" w:rsidP="005106E2">
      <w:pPr>
        <w:spacing w:after="0" w:line="240" w:lineRule="auto"/>
        <w:rPr>
          <w:szCs w:val="20"/>
        </w:rPr>
      </w:pPr>
      <w:proofErr w:type="spellStart"/>
      <w:r>
        <w:rPr>
          <w:szCs w:val="20"/>
        </w:rPr>
        <w:t>Bjørge</w:t>
      </w:r>
      <w:proofErr w:type="gramStart"/>
      <w:r>
        <w:rPr>
          <w:szCs w:val="20"/>
        </w:rPr>
        <w:t>,et</w:t>
      </w:r>
      <w:proofErr w:type="spellEnd"/>
      <w:proofErr w:type="gramEnd"/>
      <w:r>
        <w:rPr>
          <w:szCs w:val="20"/>
        </w:rPr>
        <w:t xml:space="preserve"> al. (2013) provide data to </w:t>
      </w:r>
      <w:r w:rsidR="0074068F">
        <w:rPr>
          <w:szCs w:val="20"/>
        </w:rPr>
        <w:t xml:space="preserve">disaggregate the total </w:t>
      </w:r>
      <w:r>
        <w:rPr>
          <w:szCs w:val="20"/>
        </w:rPr>
        <w:t xml:space="preserve">bycatch </w:t>
      </w:r>
      <w:r w:rsidR="0074068F">
        <w:rPr>
          <w:szCs w:val="20"/>
        </w:rPr>
        <w:t xml:space="preserve">by statistical areas, and thereby estimate the bycatch from the coastal waters within </w:t>
      </w:r>
      <w:r>
        <w:rPr>
          <w:szCs w:val="20"/>
        </w:rPr>
        <w:t>the Barents Sea (areas 3, 4 and 5)</w:t>
      </w:r>
      <w:r w:rsidR="00A47287">
        <w:rPr>
          <w:szCs w:val="20"/>
        </w:rPr>
        <w:t xml:space="preserve"> (Figure 2, Table 1).</w:t>
      </w: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D32E3C" w:rsidRPr="00D32E3C" w:rsidRDefault="0074068F" w:rsidP="005106E2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 xml:space="preserve">. </w:t>
      </w:r>
      <w:r w:rsidR="007663B4" w:rsidRPr="007663B4">
        <w:rPr>
          <w:noProof/>
        </w:rPr>
        <w:drawing>
          <wp:inline distT="0" distB="0" distL="0" distR="0" wp14:anchorId="305101AD" wp14:editId="2EBA1EE5">
            <wp:extent cx="4137869" cy="2096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9398" t="14444" r="3759" b="52356"/>
                    <a:stretch/>
                  </pic:blipFill>
                  <pic:spPr bwMode="auto">
                    <a:xfrm>
                      <a:off x="0" y="0"/>
                      <a:ext cx="4134223" cy="209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E3C" w:rsidRDefault="0074068F" w:rsidP="005106E2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Figure 2.</w:t>
      </w:r>
      <w:proofErr w:type="gramEnd"/>
      <w:r>
        <w:rPr>
          <w:szCs w:val="20"/>
        </w:rPr>
        <w:t xml:space="preserve"> </w:t>
      </w:r>
      <w:proofErr w:type="spellStart"/>
      <w:proofErr w:type="gramStart"/>
      <w:r w:rsidRPr="007607EE">
        <w:rPr>
          <w:i/>
          <w:szCs w:val="20"/>
        </w:rPr>
        <w:t>Bjørge</w:t>
      </w:r>
      <w:proofErr w:type="spellEnd"/>
      <w:r w:rsidRPr="007607EE">
        <w:rPr>
          <w:i/>
          <w:sz w:val="18"/>
          <w:szCs w:val="18"/>
        </w:rPr>
        <w:t xml:space="preserve">  et</w:t>
      </w:r>
      <w:proofErr w:type="gramEnd"/>
      <w:r w:rsidRPr="007607EE">
        <w:rPr>
          <w:i/>
          <w:sz w:val="18"/>
          <w:szCs w:val="18"/>
        </w:rPr>
        <w:t xml:space="preserve"> al 2013 </w:t>
      </w:r>
      <w:r>
        <w:rPr>
          <w:i/>
          <w:sz w:val="18"/>
          <w:szCs w:val="18"/>
        </w:rPr>
        <w:t>Fig.5 (upper panel)</w:t>
      </w:r>
      <w:r w:rsidRPr="007607EE">
        <w:rPr>
          <w:i/>
          <w:sz w:val="18"/>
          <w:szCs w:val="18"/>
        </w:rPr>
        <w:t>.</w:t>
      </w:r>
      <w:r>
        <w:rPr>
          <w:i/>
          <w:sz w:val="18"/>
          <w:szCs w:val="18"/>
        </w:rPr>
        <w:t xml:space="preserve"> Predicted harbour porpoise </w:t>
      </w:r>
      <w:r w:rsidR="00A47287">
        <w:rPr>
          <w:i/>
          <w:sz w:val="18"/>
          <w:szCs w:val="18"/>
        </w:rPr>
        <w:t xml:space="preserve">(total) </w:t>
      </w:r>
      <w:r>
        <w:rPr>
          <w:i/>
          <w:sz w:val="18"/>
          <w:szCs w:val="18"/>
        </w:rPr>
        <w:t xml:space="preserve">bycatches for the period 2006-2008 from two best models (model 1.10 in </w:t>
      </w:r>
      <w:proofErr w:type="spellStart"/>
      <w:r>
        <w:rPr>
          <w:i/>
          <w:sz w:val="18"/>
          <w:szCs w:val="18"/>
        </w:rPr>
        <w:t>blac</w:t>
      </w:r>
      <w:proofErr w:type="spellEnd"/>
      <w:r>
        <w:rPr>
          <w:i/>
          <w:sz w:val="18"/>
          <w:szCs w:val="18"/>
        </w:rPr>
        <w:t>, model 2.10 in grey) by area.</w:t>
      </w:r>
    </w:p>
    <w:p w:rsidR="0074068F" w:rsidRPr="00D32E3C" w:rsidRDefault="0074068F" w:rsidP="005106E2">
      <w:pPr>
        <w:spacing w:after="0" w:line="240" w:lineRule="auto"/>
        <w:rPr>
          <w:szCs w:val="20"/>
        </w:rPr>
      </w:pPr>
    </w:p>
    <w:p w:rsidR="00A47287" w:rsidRDefault="00A47287" w:rsidP="00554BAD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Table 1.</w:t>
      </w:r>
      <w:proofErr w:type="gramEnd"/>
      <w:r>
        <w:rPr>
          <w:szCs w:val="20"/>
        </w:rPr>
        <w:t xml:space="preserve"> Estimates of annual porpoise bycatch numbers from statistical area adjoining the Barents </w:t>
      </w:r>
      <w:proofErr w:type="gramStart"/>
      <w:r>
        <w:rPr>
          <w:szCs w:val="20"/>
        </w:rPr>
        <w:t>Sea,</w:t>
      </w:r>
      <w:proofErr w:type="gramEnd"/>
      <w:r>
        <w:rPr>
          <w:szCs w:val="20"/>
        </w:rPr>
        <w:t xml:space="preserve"> digitized from Figure 2. Note that Figure 2 shows the total numbers over a 3 year period).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"/>
        <w:gridCol w:w="1322"/>
        <w:gridCol w:w="1323"/>
        <w:gridCol w:w="1032"/>
      </w:tblGrid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Model 1.10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Model 2.10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Mean</w:t>
            </w: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3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233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300</w:t>
            </w: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4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400</w:t>
            </w: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5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1067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750</w:t>
            </w: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554BAD" w:rsidTr="00554BAD"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Total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1000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1900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b/>
                <w:sz w:val="18"/>
                <w:szCs w:val="18"/>
                <w:lang w:eastAsia="en-US"/>
              </w:rPr>
            </w:pPr>
            <w:r w:rsidRPr="00554BAD">
              <w:rPr>
                <w:b/>
                <w:color w:val="FF0000"/>
                <w:sz w:val="18"/>
                <w:szCs w:val="18"/>
                <w:lang w:eastAsia="en-US"/>
              </w:rPr>
              <w:t>1450</w:t>
            </w:r>
          </w:p>
        </w:tc>
      </w:tr>
    </w:tbl>
    <w:p w:rsidR="005106E2" w:rsidRDefault="005106E2" w:rsidP="005106E2">
      <w:pPr>
        <w:spacing w:after="0" w:line="240" w:lineRule="auto"/>
        <w:rPr>
          <w:szCs w:val="20"/>
        </w:rPr>
      </w:pPr>
    </w:p>
    <w:p w:rsidR="00554BAD" w:rsidRDefault="00A47287" w:rsidP="005106E2">
      <w:pPr>
        <w:spacing w:after="0" w:line="240" w:lineRule="auto"/>
        <w:rPr>
          <w:szCs w:val="20"/>
        </w:rPr>
      </w:pPr>
      <w:r>
        <w:rPr>
          <w:szCs w:val="20"/>
        </w:rPr>
        <w:t>Hence,</w:t>
      </w:r>
      <w:r w:rsidR="00554BAD">
        <w:rPr>
          <w:szCs w:val="20"/>
        </w:rPr>
        <w:t xml:space="preserve"> 1450 individual per year seems to be a more realistic estimate of annual porpoise numbers caught in the coastal gillnet fishery in the Barents Sea region.</w:t>
      </w:r>
    </w:p>
    <w:p w:rsidR="00554BAD" w:rsidRDefault="00554BAD" w:rsidP="005106E2">
      <w:pPr>
        <w:spacing w:after="0" w:line="240" w:lineRule="auto"/>
        <w:rPr>
          <w:szCs w:val="20"/>
        </w:rPr>
      </w:pPr>
    </w:p>
    <w:p w:rsidR="009668C0" w:rsidRDefault="009668C0" w:rsidP="009668C0">
      <w:pPr>
        <w:spacing w:after="0" w:line="240" w:lineRule="auto"/>
        <w:rPr>
          <w:szCs w:val="20"/>
        </w:rPr>
      </w:pPr>
      <w:r>
        <w:rPr>
          <w:szCs w:val="20"/>
        </w:rPr>
        <w:t>W</w:t>
      </w:r>
      <w:r>
        <w:rPr>
          <w:szCs w:val="20"/>
        </w:rPr>
        <w:t xml:space="preserve">e extrapolated the inshore bycatch quantities to encompass the offshore zone based on the proportional distributions of international </w:t>
      </w:r>
      <w:r>
        <w:rPr>
          <w:szCs w:val="20"/>
        </w:rPr>
        <w:t>gillnet</w:t>
      </w:r>
      <w:r>
        <w:rPr>
          <w:szCs w:val="20"/>
        </w:rPr>
        <w:t xml:space="preserve"> activity rates, and assuming a uniform catch rate per unit time spent fishing</w:t>
      </w:r>
      <w:r w:rsidR="00A47287">
        <w:rPr>
          <w:szCs w:val="20"/>
        </w:rPr>
        <w:t xml:space="preserve"> (Table 3)</w:t>
      </w:r>
      <w:r>
        <w:rPr>
          <w:szCs w:val="20"/>
        </w:rPr>
        <w:t>.</w:t>
      </w:r>
    </w:p>
    <w:p w:rsidR="009668C0" w:rsidRDefault="009668C0" w:rsidP="005106E2">
      <w:pPr>
        <w:spacing w:after="0" w:line="240" w:lineRule="auto"/>
        <w:rPr>
          <w:szCs w:val="20"/>
        </w:rPr>
      </w:pPr>
    </w:p>
    <w:p w:rsidR="009668C0" w:rsidRDefault="009668C0" w:rsidP="005106E2">
      <w:pPr>
        <w:spacing w:after="0" w:line="240" w:lineRule="auto"/>
        <w:rPr>
          <w:szCs w:val="20"/>
        </w:rPr>
      </w:pPr>
    </w:p>
    <w:p w:rsidR="009668C0" w:rsidRPr="005865DE" w:rsidRDefault="009668C0" w:rsidP="009668C0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Table 3.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Extrapolation of inshore </w:t>
      </w:r>
      <w:r>
        <w:rPr>
          <w:szCs w:val="20"/>
        </w:rPr>
        <w:t>porpoise</w:t>
      </w:r>
      <w:r>
        <w:rPr>
          <w:szCs w:val="20"/>
        </w:rPr>
        <w:t xml:space="preserve"> annual bycatch (individuals) to offshore bycatch and total Barents Sea.</w:t>
      </w:r>
      <w:proofErr w:type="gramEnd"/>
      <w:r>
        <w:rPr>
          <w:szCs w:val="20"/>
        </w:rPr>
        <w:t xml:space="preserve"> Conversion </w:t>
      </w:r>
      <w:r w:rsidR="00A47287">
        <w:rPr>
          <w:szCs w:val="20"/>
        </w:rPr>
        <w:t xml:space="preserve">to </w:t>
      </w:r>
      <w:r>
        <w:rPr>
          <w:szCs w:val="20"/>
        </w:rPr>
        <w:t xml:space="preserve">annual bycatch tonnes assuming typical weight of </w:t>
      </w:r>
      <w:r>
        <w:rPr>
          <w:szCs w:val="20"/>
        </w:rPr>
        <w:t>a porpoise</w:t>
      </w:r>
      <w:r>
        <w:rPr>
          <w:szCs w:val="20"/>
        </w:rPr>
        <w:t xml:space="preserve"> = </w:t>
      </w:r>
      <w:r>
        <w:rPr>
          <w:szCs w:val="20"/>
        </w:rPr>
        <w:t>50</w:t>
      </w:r>
      <w:r>
        <w:rPr>
          <w:szCs w:val="20"/>
        </w:rPr>
        <w:t xml:space="preserve"> kg</w:t>
      </w:r>
      <w:r>
        <w:rPr>
          <w:szCs w:val="20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701"/>
        <w:gridCol w:w="1559"/>
        <w:gridCol w:w="1701"/>
      </w:tblGrid>
      <w:tr w:rsidR="009668C0" w:rsidTr="0074068F">
        <w:tc>
          <w:tcPr>
            <w:tcW w:w="993" w:type="dxa"/>
          </w:tcPr>
          <w:p w:rsidR="009668C0" w:rsidRPr="00273230" w:rsidRDefault="009668C0" w:rsidP="00EB0982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Gear</w:t>
            </w:r>
          </w:p>
        </w:tc>
        <w:tc>
          <w:tcPr>
            <w:tcW w:w="1559" w:type="dxa"/>
          </w:tcPr>
          <w:p w:rsidR="009668C0" w:rsidRPr="00273230" w:rsidRDefault="009668C0" w:rsidP="00EB0982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Proportion of activity in the inshore zone</w:t>
            </w:r>
          </w:p>
        </w:tc>
        <w:tc>
          <w:tcPr>
            <w:tcW w:w="1559" w:type="dxa"/>
          </w:tcPr>
          <w:p w:rsidR="009668C0" w:rsidRPr="00273230" w:rsidRDefault="009668C0" w:rsidP="0074068F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Inshore fleet annual</w:t>
            </w:r>
            <w:r w:rsidR="0074068F">
              <w:rPr>
                <w:sz w:val="18"/>
                <w:szCs w:val="18"/>
              </w:rPr>
              <w:t xml:space="preserve"> porpoise</w:t>
            </w:r>
            <w:r w:rsidRPr="00273230">
              <w:rPr>
                <w:sz w:val="18"/>
                <w:szCs w:val="18"/>
              </w:rPr>
              <w:t xml:space="preserve"> bycatch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ind.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9668C0" w:rsidRPr="00273230" w:rsidRDefault="009668C0" w:rsidP="00EB0982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Extrapolated offshore annual bycatch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ind.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9668C0" w:rsidRPr="00273230" w:rsidRDefault="009668C0" w:rsidP="00EB0982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Barents Sea fleet total annual bycatch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ind.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9668C0" w:rsidRPr="00273230" w:rsidRDefault="009668C0" w:rsidP="00EB0982">
            <w:pPr>
              <w:rPr>
                <w:b/>
                <w:sz w:val="18"/>
                <w:szCs w:val="18"/>
              </w:rPr>
            </w:pPr>
            <w:r w:rsidRPr="00273230">
              <w:rPr>
                <w:b/>
                <w:sz w:val="18"/>
                <w:szCs w:val="18"/>
              </w:rPr>
              <w:t>Barents Sea fleet total annual bycatch (tonnes)</w:t>
            </w:r>
          </w:p>
        </w:tc>
      </w:tr>
      <w:tr w:rsidR="009668C0" w:rsidTr="0074068F">
        <w:tc>
          <w:tcPr>
            <w:tcW w:w="993" w:type="dxa"/>
          </w:tcPr>
          <w:p w:rsidR="009668C0" w:rsidRPr="00273230" w:rsidRDefault="009668C0" w:rsidP="00EB0982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Gillnets</w:t>
            </w:r>
          </w:p>
        </w:tc>
        <w:tc>
          <w:tcPr>
            <w:tcW w:w="1559" w:type="dxa"/>
          </w:tcPr>
          <w:p w:rsidR="009668C0" w:rsidRPr="00273230" w:rsidRDefault="009668C0" w:rsidP="00EB0982">
            <w:pPr>
              <w:rPr>
                <w:sz w:val="18"/>
                <w:szCs w:val="18"/>
              </w:rPr>
            </w:pPr>
            <w:r w:rsidRPr="00273230">
              <w:rPr>
                <w:sz w:val="18"/>
                <w:szCs w:val="18"/>
              </w:rPr>
              <w:t>0.5211</w:t>
            </w:r>
          </w:p>
        </w:tc>
        <w:tc>
          <w:tcPr>
            <w:tcW w:w="1559" w:type="dxa"/>
          </w:tcPr>
          <w:p w:rsidR="009668C0" w:rsidRPr="00273230" w:rsidRDefault="009668C0" w:rsidP="00EB0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1,450</w:t>
            </w:r>
          </w:p>
        </w:tc>
        <w:tc>
          <w:tcPr>
            <w:tcW w:w="1701" w:type="dxa"/>
          </w:tcPr>
          <w:p w:rsidR="009668C0" w:rsidRPr="00273230" w:rsidRDefault="009668C0" w:rsidP="00EB0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1,333</w:t>
            </w:r>
          </w:p>
        </w:tc>
        <w:tc>
          <w:tcPr>
            <w:tcW w:w="1559" w:type="dxa"/>
          </w:tcPr>
          <w:p w:rsidR="009668C0" w:rsidRPr="00273230" w:rsidRDefault="0074068F" w:rsidP="00EB0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2,783</w:t>
            </w:r>
          </w:p>
        </w:tc>
        <w:tc>
          <w:tcPr>
            <w:tcW w:w="1701" w:type="dxa"/>
          </w:tcPr>
          <w:p w:rsidR="009668C0" w:rsidRPr="00273230" w:rsidRDefault="0074068F" w:rsidP="00EB098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139</w:t>
            </w:r>
          </w:p>
        </w:tc>
      </w:tr>
    </w:tbl>
    <w:p w:rsidR="009668C0" w:rsidRDefault="009668C0" w:rsidP="005106E2">
      <w:pPr>
        <w:spacing w:after="0" w:line="240" w:lineRule="auto"/>
        <w:rPr>
          <w:szCs w:val="20"/>
        </w:rPr>
      </w:pPr>
    </w:p>
    <w:p w:rsidR="0074068F" w:rsidRDefault="0074068F" w:rsidP="005106E2">
      <w:pPr>
        <w:spacing w:after="0" w:line="240" w:lineRule="auto"/>
        <w:rPr>
          <w:szCs w:val="20"/>
        </w:rPr>
      </w:pPr>
    </w:p>
    <w:p w:rsidR="0074068F" w:rsidRDefault="00A47287" w:rsidP="0074068F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</w:t>
      </w:r>
    </w:p>
    <w:p w:rsidR="00A47287" w:rsidRDefault="00A47287" w:rsidP="0074068F">
      <w:pPr>
        <w:pStyle w:val="Default"/>
        <w:rPr>
          <w:rFonts w:ascii="Arial" w:hAnsi="Arial" w:cs="Arial"/>
          <w:sz w:val="20"/>
          <w:szCs w:val="20"/>
        </w:rPr>
      </w:pPr>
    </w:p>
    <w:p w:rsidR="0074068F" w:rsidRDefault="0074068F" w:rsidP="0074068F">
      <w:pPr>
        <w:rPr>
          <w:szCs w:val="20"/>
        </w:rPr>
      </w:pPr>
      <w:proofErr w:type="spellStart"/>
      <w:proofErr w:type="gramStart"/>
      <w:r>
        <w:rPr>
          <w:szCs w:val="20"/>
        </w:rPr>
        <w:t>Bjørge</w:t>
      </w:r>
      <w:proofErr w:type="spellEnd"/>
      <w:r>
        <w:rPr>
          <w:szCs w:val="20"/>
        </w:rPr>
        <w:t xml:space="preserve">, A., </w:t>
      </w:r>
      <w:proofErr w:type="spellStart"/>
      <w:r>
        <w:rPr>
          <w:szCs w:val="20"/>
        </w:rPr>
        <w:t>Skern-Mauritzen</w:t>
      </w:r>
      <w:proofErr w:type="spellEnd"/>
      <w:r>
        <w:rPr>
          <w:szCs w:val="20"/>
        </w:rPr>
        <w:t xml:space="preserve">, M., and </w:t>
      </w:r>
      <w:proofErr w:type="spellStart"/>
      <w:r>
        <w:rPr>
          <w:szCs w:val="20"/>
        </w:rPr>
        <w:t>Rossman</w:t>
      </w:r>
      <w:proofErr w:type="spellEnd"/>
      <w:r>
        <w:rPr>
          <w:szCs w:val="20"/>
        </w:rPr>
        <w:t>, M. C. 2013.</w:t>
      </w:r>
      <w:proofErr w:type="gramEnd"/>
      <w:r>
        <w:rPr>
          <w:szCs w:val="20"/>
        </w:rPr>
        <w:t xml:space="preserve"> Estimated bycatch of harbour porpoise (</w:t>
      </w:r>
      <w:proofErr w:type="spellStart"/>
      <w:r>
        <w:rPr>
          <w:i/>
          <w:iCs/>
          <w:szCs w:val="20"/>
        </w:rPr>
        <w:t>Phocoena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phocoena</w:t>
      </w:r>
      <w:proofErr w:type="spellEnd"/>
      <w:r>
        <w:rPr>
          <w:szCs w:val="20"/>
        </w:rPr>
        <w:t xml:space="preserve">) in two coastal gillnet fisheries in Norway, 2006–2008. </w:t>
      </w:r>
      <w:proofErr w:type="gramStart"/>
      <w:r>
        <w:rPr>
          <w:szCs w:val="20"/>
        </w:rPr>
        <w:t>Mitigation and implications for conservation.</w:t>
      </w:r>
      <w:proofErr w:type="gramEnd"/>
      <w:r>
        <w:rPr>
          <w:szCs w:val="20"/>
        </w:rPr>
        <w:t xml:space="preserve"> Biological Conservation 161: 164–173. </w:t>
      </w:r>
      <w:hyperlink r:id="rId8" w:history="1">
        <w:r w:rsidRPr="00D3226A">
          <w:rPr>
            <w:rStyle w:val="Hyperlink"/>
            <w:szCs w:val="20"/>
          </w:rPr>
          <w:t>https://doi.org/10.1016/j.biocon.2013.03.009</w:t>
        </w:r>
      </w:hyperlink>
      <w:r>
        <w:rPr>
          <w:szCs w:val="20"/>
        </w:rPr>
        <w:t>.</w:t>
      </w:r>
    </w:p>
    <w:p w:rsidR="0074068F" w:rsidRDefault="00A47287" w:rsidP="005106E2">
      <w:pPr>
        <w:spacing w:after="0" w:line="240" w:lineRule="auto"/>
        <w:rPr>
          <w:szCs w:val="20"/>
        </w:rPr>
      </w:pPr>
      <w:proofErr w:type="gramStart"/>
      <w:r>
        <w:rPr>
          <w:szCs w:val="20"/>
        </w:rPr>
        <w:t>ICES (2019).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Barents Sea Ecosystem – Fisheries overview.</w:t>
      </w:r>
      <w:proofErr w:type="gramEnd"/>
      <w:r>
        <w:rPr>
          <w:szCs w:val="20"/>
        </w:rPr>
        <w:t xml:space="preserve"> </w:t>
      </w:r>
      <w:proofErr w:type="gramStart"/>
      <w:r>
        <w:rPr>
          <w:i/>
          <w:iCs/>
          <w:szCs w:val="20"/>
        </w:rPr>
        <w:t xml:space="preserve">In </w:t>
      </w:r>
      <w:r>
        <w:rPr>
          <w:szCs w:val="20"/>
        </w:rPr>
        <w:t>Report of the ICES Advisory Committee, 2019.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ICES Advice 2019, Section 5.2.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28 pp. https://doi.org/10.17895/ices.advice.5705.</w:t>
      </w:r>
      <w:proofErr w:type="gramEnd"/>
    </w:p>
    <w:p w:rsidR="005C3FD8" w:rsidRDefault="005C3FD8" w:rsidP="005C3FD8">
      <w:pPr>
        <w:spacing w:after="0" w:line="240" w:lineRule="auto"/>
        <w:rPr>
          <w:szCs w:val="20"/>
        </w:rPr>
      </w:pPr>
    </w:p>
    <w:p w:rsidR="005C3FD8" w:rsidRDefault="005C3FD8" w:rsidP="005C3FD8">
      <w:pPr>
        <w:spacing w:after="0" w:line="240" w:lineRule="auto"/>
        <w:rPr>
          <w:szCs w:val="20"/>
        </w:rPr>
      </w:pPr>
    </w:p>
    <w:p w:rsidR="005C3FD8" w:rsidRPr="005C3FD8" w:rsidRDefault="005C3FD8" w:rsidP="005C3FD8">
      <w:pPr>
        <w:spacing w:after="0" w:line="240" w:lineRule="auto"/>
        <w:rPr>
          <w:szCs w:val="20"/>
        </w:rPr>
      </w:pPr>
    </w:p>
    <w:sectPr w:rsidR="005C3FD8" w:rsidRPr="005C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207D"/>
    <w:multiLevelType w:val="hybridMultilevel"/>
    <w:tmpl w:val="308E06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E2"/>
    <w:rsid w:val="0026743B"/>
    <w:rsid w:val="002B242A"/>
    <w:rsid w:val="005106E2"/>
    <w:rsid w:val="00554BAD"/>
    <w:rsid w:val="005C3FD8"/>
    <w:rsid w:val="0074068F"/>
    <w:rsid w:val="007607EE"/>
    <w:rsid w:val="007663B4"/>
    <w:rsid w:val="009668C0"/>
    <w:rsid w:val="00A47287"/>
    <w:rsid w:val="00B264F2"/>
    <w:rsid w:val="00C757B7"/>
    <w:rsid w:val="00CF0C77"/>
    <w:rsid w:val="00D32E3C"/>
    <w:rsid w:val="00E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NewRomanPSMT"/>
        <w:bCs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6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3C"/>
    <w:rPr>
      <w:rFonts w:ascii="Tahoma" w:hAnsi="Tahoma" w:cs="Tahoma"/>
      <w:color w:val="00000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554BAD"/>
    <w:pPr>
      <w:ind w:left="720"/>
      <w:contextualSpacing/>
    </w:pPr>
  </w:style>
  <w:style w:type="table" w:styleId="TableGrid">
    <w:name w:val="Table Grid"/>
    <w:basedOn w:val="TableNormal"/>
    <w:uiPriority w:val="59"/>
    <w:rsid w:val="009668C0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NewRomanPSMT"/>
        <w:bCs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6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3C"/>
    <w:rPr>
      <w:rFonts w:ascii="Tahoma" w:hAnsi="Tahoma" w:cs="Tahoma"/>
      <w:color w:val="00000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554BAD"/>
    <w:pPr>
      <w:ind w:left="720"/>
      <w:contextualSpacing/>
    </w:pPr>
  </w:style>
  <w:style w:type="table" w:styleId="TableGrid">
    <w:name w:val="Table Grid"/>
    <w:basedOn w:val="TableNormal"/>
    <w:uiPriority w:val="59"/>
    <w:rsid w:val="009668C0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iocon.2013.03.00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Heath</dc:creator>
  <cp:lastModifiedBy>Michael Heath</cp:lastModifiedBy>
  <cp:revision>4</cp:revision>
  <dcterms:created xsi:type="dcterms:W3CDTF">2021-02-18T22:33:00Z</dcterms:created>
  <dcterms:modified xsi:type="dcterms:W3CDTF">2021-02-21T23:53:00Z</dcterms:modified>
</cp:coreProperties>
</file>