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70" w:rsidRDefault="003C758A" w:rsidP="00150870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PInniped</w:t>
      </w:r>
      <w:proofErr w:type="spellEnd"/>
      <w:r w:rsidR="00150870" w:rsidRPr="005106E2">
        <w:rPr>
          <w:sz w:val="28"/>
          <w:szCs w:val="28"/>
        </w:rPr>
        <w:t xml:space="preserve"> bycatch in </w:t>
      </w:r>
      <w:r w:rsidR="00150870">
        <w:rPr>
          <w:sz w:val="28"/>
          <w:szCs w:val="28"/>
        </w:rPr>
        <w:t>the Barents Sea</w:t>
      </w:r>
      <w:r w:rsidR="00150870" w:rsidRPr="005106E2">
        <w:rPr>
          <w:sz w:val="28"/>
          <w:szCs w:val="28"/>
        </w:rPr>
        <w:t>.</w:t>
      </w:r>
      <w:proofErr w:type="gramEnd"/>
    </w:p>
    <w:p w:rsidR="00150870" w:rsidRDefault="00150870" w:rsidP="00150870">
      <w:pPr>
        <w:spacing w:after="0" w:line="240" w:lineRule="auto"/>
        <w:rPr>
          <w:sz w:val="28"/>
          <w:szCs w:val="28"/>
        </w:rPr>
      </w:pPr>
    </w:p>
    <w:p w:rsidR="00150870" w:rsidRDefault="005865DE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  <w:r w:rsidRPr="005865DE">
        <w:rPr>
          <w:rFonts w:ascii="Arial" w:hAnsi="Arial" w:cs="Arial"/>
          <w:color w:val="auto"/>
          <w:sz w:val="20"/>
          <w:szCs w:val="20"/>
        </w:rPr>
        <w:t xml:space="preserve">The </w:t>
      </w:r>
      <w:r w:rsidRPr="005865DE">
        <w:rPr>
          <w:rFonts w:ascii="Arial" w:hAnsi="Arial" w:cs="Arial"/>
          <w:iCs/>
          <w:color w:val="auto"/>
          <w:sz w:val="20"/>
          <w:szCs w:val="20"/>
        </w:rPr>
        <w:t>ICES Fisheries Overview of the</w:t>
      </w:r>
      <w:r w:rsidR="00150870" w:rsidRPr="005865DE">
        <w:rPr>
          <w:rFonts w:ascii="Arial" w:hAnsi="Arial" w:cs="Arial"/>
          <w:iCs/>
          <w:color w:val="auto"/>
          <w:sz w:val="20"/>
          <w:szCs w:val="20"/>
        </w:rPr>
        <w:t xml:space="preserve"> Barents Sea Ecoregion </w:t>
      </w:r>
      <w:r w:rsidRPr="005865DE">
        <w:rPr>
          <w:rFonts w:ascii="Arial" w:hAnsi="Arial" w:cs="Arial"/>
          <w:iCs/>
          <w:color w:val="auto"/>
          <w:sz w:val="20"/>
          <w:szCs w:val="20"/>
        </w:rPr>
        <w:t>(ICES 2019)</w:t>
      </w:r>
      <w:r w:rsidR="00D04CFA">
        <w:rPr>
          <w:rFonts w:ascii="Arial" w:hAnsi="Arial" w:cs="Arial"/>
          <w:iCs/>
          <w:color w:val="auto"/>
          <w:sz w:val="20"/>
          <w:szCs w:val="20"/>
        </w:rPr>
        <w:t xml:space="preserve"> </w:t>
      </w:r>
      <w:r w:rsidR="005D4BFC">
        <w:rPr>
          <w:rFonts w:ascii="Arial" w:hAnsi="Arial" w:cs="Arial"/>
          <w:iCs/>
          <w:color w:val="auto"/>
          <w:sz w:val="20"/>
          <w:szCs w:val="20"/>
        </w:rPr>
        <w:t xml:space="preserve">provides </w:t>
      </w:r>
      <w:r w:rsidR="003C758A">
        <w:rPr>
          <w:rFonts w:ascii="Arial" w:hAnsi="Arial" w:cs="Arial"/>
          <w:iCs/>
          <w:color w:val="auto"/>
          <w:sz w:val="20"/>
          <w:szCs w:val="20"/>
        </w:rPr>
        <w:t>no information on pinniped</w:t>
      </w:r>
      <w:r>
        <w:rPr>
          <w:rFonts w:ascii="Arial" w:hAnsi="Arial" w:cs="Arial"/>
          <w:iCs/>
          <w:color w:val="auto"/>
          <w:sz w:val="20"/>
          <w:szCs w:val="20"/>
        </w:rPr>
        <w:t xml:space="preserve"> bycatch rates in the region</w:t>
      </w:r>
      <w:r w:rsidR="00D04CFA">
        <w:rPr>
          <w:rFonts w:ascii="Arial" w:hAnsi="Arial" w:cs="Arial"/>
          <w:iCs/>
          <w:color w:val="auto"/>
          <w:sz w:val="20"/>
          <w:szCs w:val="20"/>
        </w:rPr>
        <w:t xml:space="preserve">. </w:t>
      </w:r>
      <w:r w:rsidR="003C758A">
        <w:rPr>
          <w:rFonts w:ascii="Arial" w:hAnsi="Arial" w:cs="Arial"/>
          <w:iCs/>
          <w:color w:val="auto"/>
          <w:sz w:val="20"/>
          <w:szCs w:val="20"/>
        </w:rPr>
        <w:t xml:space="preserve">However, several publications report sampling and studies of bycatch in the </w:t>
      </w:r>
      <w:r w:rsidR="0036072F">
        <w:rPr>
          <w:rFonts w:ascii="Arial" w:hAnsi="Arial" w:cs="Arial"/>
          <w:iCs/>
          <w:color w:val="auto"/>
          <w:sz w:val="20"/>
          <w:szCs w:val="20"/>
        </w:rPr>
        <w:t xml:space="preserve">Norwegian </w:t>
      </w:r>
      <w:r w:rsidR="003C758A">
        <w:rPr>
          <w:rFonts w:ascii="Arial" w:hAnsi="Arial" w:cs="Arial"/>
          <w:iCs/>
          <w:color w:val="auto"/>
          <w:sz w:val="20"/>
          <w:szCs w:val="20"/>
        </w:rPr>
        <w:t>coastal gillnet fisheries (</w:t>
      </w:r>
      <w:proofErr w:type="spellStart"/>
      <w:r w:rsidR="003C758A">
        <w:rPr>
          <w:rFonts w:ascii="Arial" w:hAnsi="Arial" w:cs="Arial"/>
          <w:iCs/>
          <w:color w:val="auto"/>
          <w:sz w:val="20"/>
          <w:szCs w:val="20"/>
        </w:rPr>
        <w:t>Bjørge</w:t>
      </w:r>
      <w:proofErr w:type="spellEnd"/>
      <w:r w:rsidR="003C758A">
        <w:rPr>
          <w:rFonts w:ascii="Arial" w:hAnsi="Arial" w:cs="Arial"/>
          <w:iCs/>
          <w:color w:val="auto"/>
          <w:sz w:val="20"/>
          <w:szCs w:val="20"/>
        </w:rPr>
        <w:t xml:space="preserve"> et al</w:t>
      </w:r>
      <w:r w:rsidR="00F633A9">
        <w:rPr>
          <w:rFonts w:ascii="Arial" w:hAnsi="Arial" w:cs="Arial"/>
          <w:iCs/>
          <w:color w:val="auto"/>
          <w:sz w:val="20"/>
          <w:szCs w:val="20"/>
        </w:rPr>
        <w:t>.</w:t>
      </w:r>
      <w:r w:rsidR="003C758A">
        <w:rPr>
          <w:rFonts w:ascii="Arial" w:hAnsi="Arial" w:cs="Arial"/>
          <w:iCs/>
          <w:color w:val="auto"/>
          <w:sz w:val="20"/>
          <w:szCs w:val="20"/>
        </w:rPr>
        <w:t xml:space="preserve"> 2002, 2017</w:t>
      </w:r>
      <w:r w:rsidR="000F43F9">
        <w:rPr>
          <w:rFonts w:ascii="Arial" w:hAnsi="Arial" w:cs="Arial"/>
          <w:iCs/>
          <w:color w:val="auto"/>
          <w:sz w:val="20"/>
          <w:szCs w:val="20"/>
        </w:rPr>
        <w:t>, Moan 2016).</w:t>
      </w:r>
      <w:r w:rsidR="0036072F">
        <w:rPr>
          <w:rFonts w:ascii="Arial" w:hAnsi="Arial" w:cs="Arial"/>
          <w:iCs/>
          <w:color w:val="auto"/>
          <w:sz w:val="20"/>
          <w:szCs w:val="20"/>
        </w:rPr>
        <w:t xml:space="preserve"> The coastal catches are entirely of harbour and grey seals. There are no quantitative data on by bycatches of other pinniped species in offshore waters.</w:t>
      </w:r>
    </w:p>
    <w:p w:rsidR="0036072F" w:rsidRDefault="0036072F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36072F" w:rsidRPr="003247B4" w:rsidRDefault="00F633A9" w:rsidP="003247B4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  <w:proofErr w:type="spellStart"/>
      <w:r w:rsidRPr="003247B4">
        <w:rPr>
          <w:rFonts w:ascii="Arial" w:hAnsi="Arial" w:cs="Arial"/>
          <w:iCs/>
          <w:color w:val="auto"/>
          <w:sz w:val="20"/>
          <w:szCs w:val="20"/>
        </w:rPr>
        <w:t>Bjø</w:t>
      </w:r>
      <w:r w:rsidRPr="003247B4">
        <w:rPr>
          <w:rFonts w:ascii="Arial" w:hAnsi="Arial" w:cs="Arial"/>
          <w:iCs/>
          <w:color w:val="auto"/>
          <w:sz w:val="20"/>
          <w:szCs w:val="20"/>
        </w:rPr>
        <w:t>rge</w:t>
      </w:r>
      <w:proofErr w:type="spellEnd"/>
      <w:r w:rsidRPr="003247B4">
        <w:rPr>
          <w:rFonts w:ascii="Arial" w:hAnsi="Arial" w:cs="Arial"/>
          <w:iCs/>
          <w:color w:val="auto"/>
          <w:sz w:val="20"/>
          <w:szCs w:val="20"/>
        </w:rPr>
        <w:t xml:space="preserve"> et al. (2017) report on three separate threads of evidence for the extent of pinniped bycatch in the Norwegian coastal gillnet fishery for cod and monkfish. First was a mark-recapture study involving tags attached to pups in coastal breeding sites between 1997 and 2014 and returned by gillnet fishers. </w:t>
      </w:r>
      <w:r w:rsidR="003247B4" w:rsidRPr="003247B4">
        <w:rPr>
          <w:rFonts w:ascii="Arial" w:hAnsi="Arial" w:cs="Arial"/>
          <w:iCs/>
          <w:color w:val="auto"/>
          <w:sz w:val="20"/>
          <w:szCs w:val="20"/>
        </w:rPr>
        <w:t xml:space="preserve">The data indicated a mean annual bycatch of </w:t>
      </w:r>
      <w:r w:rsidR="003247B4" w:rsidRPr="003247B4">
        <w:rPr>
          <w:rFonts w:ascii="Arial" w:hAnsi="Arial" w:cs="Arial"/>
          <w:sz w:val="20"/>
          <w:szCs w:val="20"/>
        </w:rPr>
        <w:t>555 harbour and 466 grey seals for the Norwegian coast north of 62</w:t>
      </w:r>
      <w:r w:rsidR="003247B4">
        <w:rPr>
          <w:rFonts w:ascii="Arial" w:hAnsi="Arial" w:cs="Arial"/>
          <w:sz w:val="20"/>
          <w:szCs w:val="20"/>
        </w:rPr>
        <w:t>°</w:t>
      </w:r>
      <w:r w:rsidR="003247B4" w:rsidRPr="003247B4">
        <w:rPr>
          <w:rFonts w:ascii="Arial" w:hAnsi="Arial" w:cs="Arial"/>
          <w:sz w:val="20"/>
          <w:szCs w:val="20"/>
        </w:rPr>
        <w:t xml:space="preserve">N. </w:t>
      </w:r>
      <w:r w:rsidR="003247B4" w:rsidRPr="003247B4">
        <w:rPr>
          <w:rFonts w:ascii="Arial" w:hAnsi="Arial" w:cs="Arial"/>
          <w:iCs/>
          <w:color w:val="auto"/>
          <w:sz w:val="20"/>
          <w:szCs w:val="20"/>
        </w:rPr>
        <w:t>This study built on earlier tagging work (</w:t>
      </w:r>
      <w:proofErr w:type="spellStart"/>
      <w:r w:rsidR="003247B4" w:rsidRPr="003247B4">
        <w:rPr>
          <w:rFonts w:ascii="Arial" w:hAnsi="Arial" w:cs="Arial"/>
          <w:iCs/>
          <w:color w:val="auto"/>
          <w:sz w:val="20"/>
          <w:szCs w:val="20"/>
        </w:rPr>
        <w:t>Bjørge</w:t>
      </w:r>
      <w:proofErr w:type="spellEnd"/>
      <w:r w:rsidR="003247B4" w:rsidRPr="003247B4">
        <w:rPr>
          <w:rFonts w:ascii="Arial" w:hAnsi="Arial" w:cs="Arial"/>
          <w:iCs/>
          <w:color w:val="auto"/>
          <w:sz w:val="20"/>
          <w:szCs w:val="20"/>
        </w:rPr>
        <w:t xml:space="preserve"> et al. 2002) between 1975 and 1998.</w:t>
      </w:r>
    </w:p>
    <w:p w:rsidR="00004ED8" w:rsidRPr="003247B4" w:rsidRDefault="00004ED8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004ED8" w:rsidRPr="003247B4" w:rsidRDefault="00004ED8" w:rsidP="003247B4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  <w:r w:rsidRPr="003247B4">
        <w:rPr>
          <w:rFonts w:ascii="Arial" w:hAnsi="Arial" w:cs="Arial"/>
          <w:iCs/>
          <w:color w:val="auto"/>
          <w:sz w:val="20"/>
          <w:szCs w:val="20"/>
        </w:rPr>
        <w:t>The second thread of evidence was the database of fully documented catches taken by the ‘Coastal Reference Fleet’ – a subset of the Norwegian coastal fishing fleet recruited to provide complete information on all species and quantities caught</w:t>
      </w:r>
      <w:r w:rsidR="00C97C2F">
        <w:rPr>
          <w:rFonts w:ascii="Arial" w:hAnsi="Arial" w:cs="Arial"/>
          <w:iCs/>
          <w:color w:val="auto"/>
          <w:sz w:val="20"/>
          <w:szCs w:val="20"/>
        </w:rPr>
        <w:t xml:space="preserve"> (Figure 1)</w:t>
      </w:r>
      <w:r w:rsidRPr="003247B4">
        <w:rPr>
          <w:rFonts w:ascii="Arial" w:hAnsi="Arial" w:cs="Arial"/>
          <w:iCs/>
          <w:color w:val="auto"/>
          <w:sz w:val="20"/>
          <w:szCs w:val="20"/>
        </w:rPr>
        <w:t>. The reference fleet data were extrapolated to the entire fleet using a variety of co-variate models.</w:t>
      </w:r>
      <w:r w:rsidR="003247B4" w:rsidRPr="003247B4">
        <w:rPr>
          <w:rFonts w:ascii="Arial" w:hAnsi="Arial" w:cs="Arial"/>
          <w:iCs/>
          <w:color w:val="auto"/>
          <w:sz w:val="20"/>
          <w:szCs w:val="20"/>
        </w:rPr>
        <w:t xml:space="preserve"> The analysis indicated a mean annual bycatch of </w:t>
      </w:r>
      <w:r w:rsidR="003247B4" w:rsidRPr="003247B4">
        <w:rPr>
          <w:rFonts w:ascii="Arial" w:hAnsi="Arial" w:cs="Arial"/>
          <w:sz w:val="20"/>
          <w:szCs w:val="20"/>
        </w:rPr>
        <w:t>479 harbour and 84 grey seals in the period 2006-2014.</w:t>
      </w:r>
    </w:p>
    <w:p w:rsidR="00004ED8" w:rsidRPr="003247B4" w:rsidRDefault="00004ED8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0F43F9" w:rsidRPr="003247B4" w:rsidRDefault="00004ED8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  <w:r w:rsidRPr="003247B4">
        <w:rPr>
          <w:rFonts w:ascii="Arial" w:hAnsi="Arial" w:cs="Arial"/>
          <w:iCs/>
          <w:color w:val="auto"/>
          <w:sz w:val="20"/>
          <w:szCs w:val="20"/>
        </w:rPr>
        <w:t xml:space="preserve">The third thread was evidence from modelling studies of </w:t>
      </w:r>
      <w:proofErr w:type="spellStart"/>
      <w:r w:rsidRPr="003247B4">
        <w:rPr>
          <w:rFonts w:ascii="Arial" w:hAnsi="Arial" w:cs="Arial"/>
          <w:iCs/>
          <w:color w:val="auto"/>
          <w:sz w:val="20"/>
          <w:szCs w:val="20"/>
        </w:rPr>
        <w:t>of</w:t>
      </w:r>
      <w:proofErr w:type="spellEnd"/>
      <w:r w:rsidRPr="003247B4">
        <w:rPr>
          <w:rFonts w:ascii="Arial" w:hAnsi="Arial" w:cs="Arial"/>
          <w:iCs/>
          <w:color w:val="auto"/>
          <w:sz w:val="20"/>
          <w:szCs w:val="20"/>
        </w:rPr>
        <w:t xml:space="preserve"> mortality in populations of harbour and grey seals that could </w:t>
      </w:r>
      <w:proofErr w:type="spellStart"/>
      <w:r w:rsidRPr="003247B4">
        <w:rPr>
          <w:rFonts w:ascii="Arial" w:hAnsi="Arial" w:cs="Arial"/>
          <w:iCs/>
          <w:color w:val="auto"/>
          <w:sz w:val="20"/>
          <w:szCs w:val="20"/>
        </w:rPr>
        <w:t>nit</w:t>
      </w:r>
      <w:proofErr w:type="spellEnd"/>
      <w:r w:rsidRPr="003247B4">
        <w:rPr>
          <w:rFonts w:ascii="Arial" w:hAnsi="Arial" w:cs="Arial"/>
          <w:iCs/>
          <w:color w:val="auto"/>
          <w:sz w:val="20"/>
          <w:szCs w:val="20"/>
        </w:rPr>
        <w:t xml:space="preserve"> be explained by any other cause.</w:t>
      </w:r>
      <w:r w:rsidR="003247B4" w:rsidRPr="003247B4">
        <w:rPr>
          <w:rFonts w:ascii="Arial" w:hAnsi="Arial" w:cs="Arial"/>
          <w:iCs/>
          <w:color w:val="auto"/>
          <w:sz w:val="20"/>
          <w:szCs w:val="20"/>
        </w:rPr>
        <w:t xml:space="preserve"> This</w:t>
      </w:r>
      <w:r w:rsidR="003247B4" w:rsidRPr="003247B4">
        <w:rPr>
          <w:rFonts w:ascii="Arial" w:hAnsi="Arial" w:cs="Arial"/>
          <w:iCs/>
          <w:color w:val="auto"/>
          <w:sz w:val="20"/>
          <w:szCs w:val="20"/>
        </w:rPr>
        <w:t xml:space="preserve"> analysis indicated a mean annual bycatch </w:t>
      </w:r>
      <w:proofErr w:type="gramStart"/>
      <w:r w:rsidR="003247B4" w:rsidRPr="003247B4">
        <w:rPr>
          <w:rFonts w:ascii="Arial" w:hAnsi="Arial" w:cs="Arial"/>
          <w:iCs/>
          <w:color w:val="auto"/>
          <w:sz w:val="20"/>
          <w:szCs w:val="20"/>
        </w:rPr>
        <w:t xml:space="preserve">of </w:t>
      </w:r>
      <w:r w:rsidR="003247B4" w:rsidRPr="003247B4">
        <w:rPr>
          <w:rFonts w:ascii="Arial" w:hAnsi="Arial" w:cs="Arial"/>
          <w:sz w:val="20"/>
          <w:szCs w:val="20"/>
        </w:rPr>
        <w:t xml:space="preserve"> </w:t>
      </w:r>
      <w:r w:rsidR="003247B4" w:rsidRPr="003247B4">
        <w:rPr>
          <w:rFonts w:ascii="Arial" w:hAnsi="Arial" w:cs="Arial"/>
          <w:sz w:val="20"/>
          <w:szCs w:val="20"/>
        </w:rPr>
        <w:t>150</w:t>
      </w:r>
      <w:proofErr w:type="gramEnd"/>
      <w:r w:rsidR="003247B4" w:rsidRPr="003247B4">
        <w:rPr>
          <w:rFonts w:ascii="Arial" w:hAnsi="Arial" w:cs="Arial"/>
          <w:sz w:val="20"/>
          <w:szCs w:val="20"/>
        </w:rPr>
        <w:t xml:space="preserve"> harbour and 80</w:t>
      </w:r>
      <w:r w:rsidR="003247B4" w:rsidRPr="003247B4">
        <w:rPr>
          <w:rFonts w:ascii="Arial" w:hAnsi="Arial" w:cs="Arial"/>
          <w:sz w:val="20"/>
          <w:szCs w:val="20"/>
        </w:rPr>
        <w:t xml:space="preserve"> grey seals.</w:t>
      </w:r>
    </w:p>
    <w:p w:rsidR="00004ED8" w:rsidRPr="003247B4" w:rsidRDefault="00004ED8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004ED8" w:rsidRDefault="00004ED8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  <w:proofErr w:type="spellStart"/>
      <w:r>
        <w:rPr>
          <w:rFonts w:ascii="Arial" w:hAnsi="Arial" w:cs="Arial"/>
          <w:iCs/>
          <w:color w:val="auto"/>
          <w:sz w:val="20"/>
          <w:szCs w:val="20"/>
        </w:rPr>
        <w:t>Bjørge</w:t>
      </w:r>
      <w:proofErr w:type="spellEnd"/>
      <w:r>
        <w:rPr>
          <w:rFonts w:ascii="Arial" w:hAnsi="Arial" w:cs="Arial"/>
          <w:iCs/>
          <w:color w:val="auto"/>
          <w:sz w:val="20"/>
          <w:szCs w:val="20"/>
        </w:rPr>
        <w:t xml:space="preserve"> et al. (2017)</w:t>
      </w:r>
      <w:r>
        <w:rPr>
          <w:rFonts w:ascii="Arial" w:hAnsi="Arial" w:cs="Arial"/>
          <w:iCs/>
          <w:color w:val="auto"/>
          <w:sz w:val="20"/>
          <w:szCs w:val="20"/>
        </w:rPr>
        <w:t xml:space="preserve"> considered the mark-recapture data to be the most reliable in ter</w:t>
      </w:r>
      <w:r w:rsidR="003247B4">
        <w:rPr>
          <w:rFonts w:ascii="Arial" w:hAnsi="Arial" w:cs="Arial"/>
          <w:iCs/>
          <w:color w:val="auto"/>
          <w:sz w:val="20"/>
          <w:szCs w:val="20"/>
        </w:rPr>
        <w:t>ms of total numbers, but lacked</w:t>
      </w:r>
      <w:r>
        <w:rPr>
          <w:rFonts w:ascii="Arial" w:hAnsi="Arial" w:cs="Arial"/>
          <w:iCs/>
          <w:color w:val="auto"/>
          <w:sz w:val="20"/>
          <w:szCs w:val="20"/>
        </w:rPr>
        <w:t xml:space="preserve"> spatial granularity. On the other hand the results derived from the reference fleet database provided </w:t>
      </w:r>
      <w:r w:rsidR="003247B4">
        <w:rPr>
          <w:rFonts w:ascii="Arial" w:hAnsi="Arial" w:cs="Arial"/>
          <w:iCs/>
          <w:color w:val="auto"/>
          <w:sz w:val="20"/>
          <w:szCs w:val="20"/>
        </w:rPr>
        <w:t xml:space="preserve">both </w:t>
      </w:r>
      <w:r w:rsidR="00BE5018">
        <w:rPr>
          <w:rFonts w:ascii="Arial" w:hAnsi="Arial" w:cs="Arial"/>
          <w:iCs/>
          <w:color w:val="auto"/>
          <w:sz w:val="20"/>
          <w:szCs w:val="20"/>
        </w:rPr>
        <w:t>spatial and tempor</w:t>
      </w:r>
      <w:r w:rsidR="00C97C2F">
        <w:rPr>
          <w:rFonts w:ascii="Arial" w:hAnsi="Arial" w:cs="Arial"/>
          <w:iCs/>
          <w:color w:val="auto"/>
          <w:sz w:val="20"/>
          <w:szCs w:val="20"/>
        </w:rPr>
        <w:t>al resolution.</w:t>
      </w:r>
    </w:p>
    <w:p w:rsidR="00004ED8" w:rsidRDefault="00004ED8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BE5018" w:rsidRDefault="00C97C2F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  <w:r>
        <w:rPr>
          <w:rFonts w:ascii="Arial" w:hAnsi="Arial" w:cs="Arial"/>
          <w:iCs/>
          <w:color w:val="auto"/>
          <w:sz w:val="20"/>
          <w:szCs w:val="20"/>
        </w:rPr>
        <w:t xml:space="preserve">We used the data from the reference fleet analysis of </w:t>
      </w:r>
      <w:proofErr w:type="spellStart"/>
      <w:r>
        <w:rPr>
          <w:rFonts w:ascii="Arial" w:hAnsi="Arial" w:cs="Arial"/>
          <w:iCs/>
          <w:color w:val="auto"/>
          <w:sz w:val="20"/>
          <w:szCs w:val="20"/>
        </w:rPr>
        <w:t>Bjørge</w:t>
      </w:r>
      <w:proofErr w:type="spellEnd"/>
      <w:r>
        <w:rPr>
          <w:rFonts w:ascii="Arial" w:hAnsi="Arial" w:cs="Arial"/>
          <w:iCs/>
          <w:color w:val="auto"/>
          <w:sz w:val="20"/>
          <w:szCs w:val="20"/>
        </w:rPr>
        <w:t xml:space="preserve"> et al. (2017)</w:t>
      </w:r>
      <w:r>
        <w:rPr>
          <w:rFonts w:ascii="Arial" w:hAnsi="Arial" w:cs="Arial"/>
          <w:iCs/>
          <w:color w:val="auto"/>
          <w:sz w:val="20"/>
          <w:szCs w:val="20"/>
        </w:rPr>
        <w:t xml:space="preserve"> (Figure 2) to estimate the proportions of “all-Norway” harbour and grey seals caught in statistical areas </w:t>
      </w:r>
      <w:r w:rsidR="0007425A">
        <w:rPr>
          <w:rFonts w:ascii="Arial" w:hAnsi="Arial" w:cs="Arial"/>
          <w:iCs/>
          <w:color w:val="auto"/>
          <w:sz w:val="20"/>
          <w:szCs w:val="20"/>
        </w:rPr>
        <w:t>0</w:t>
      </w:r>
      <w:r>
        <w:rPr>
          <w:rFonts w:ascii="Arial" w:hAnsi="Arial" w:cs="Arial"/>
          <w:iCs/>
          <w:color w:val="auto"/>
          <w:sz w:val="20"/>
          <w:szCs w:val="20"/>
        </w:rPr>
        <w:t xml:space="preserve">3, </w:t>
      </w:r>
      <w:r w:rsidR="0007425A">
        <w:rPr>
          <w:rFonts w:ascii="Arial" w:hAnsi="Arial" w:cs="Arial"/>
          <w:iCs/>
          <w:color w:val="auto"/>
          <w:sz w:val="20"/>
          <w:szCs w:val="20"/>
        </w:rPr>
        <w:t>0</w:t>
      </w:r>
      <w:r>
        <w:rPr>
          <w:rFonts w:ascii="Arial" w:hAnsi="Arial" w:cs="Arial"/>
          <w:iCs/>
          <w:color w:val="auto"/>
          <w:sz w:val="20"/>
          <w:szCs w:val="20"/>
        </w:rPr>
        <w:t xml:space="preserve">4 and </w:t>
      </w:r>
      <w:r w:rsidR="0007425A">
        <w:rPr>
          <w:rFonts w:ascii="Arial" w:hAnsi="Arial" w:cs="Arial"/>
          <w:iCs/>
          <w:color w:val="auto"/>
          <w:sz w:val="20"/>
          <w:szCs w:val="20"/>
        </w:rPr>
        <w:t>0</w:t>
      </w:r>
      <w:r>
        <w:rPr>
          <w:rFonts w:ascii="Arial" w:hAnsi="Arial" w:cs="Arial"/>
          <w:iCs/>
          <w:color w:val="auto"/>
          <w:sz w:val="20"/>
          <w:szCs w:val="20"/>
        </w:rPr>
        <w:t>5</w:t>
      </w:r>
      <w:r w:rsidR="0007425A">
        <w:rPr>
          <w:rFonts w:ascii="Arial" w:hAnsi="Arial" w:cs="Arial"/>
          <w:iCs/>
          <w:color w:val="auto"/>
          <w:sz w:val="20"/>
          <w:szCs w:val="20"/>
        </w:rPr>
        <w:t xml:space="preserve"> (Table 1)</w:t>
      </w:r>
      <w:r>
        <w:rPr>
          <w:rFonts w:ascii="Arial" w:hAnsi="Arial" w:cs="Arial"/>
          <w:iCs/>
          <w:color w:val="auto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iCs/>
          <w:color w:val="auto"/>
          <w:sz w:val="20"/>
          <w:szCs w:val="20"/>
        </w:rPr>
        <w:t>All or part of these areas fall within our Barents Sea model domain.</w:t>
      </w:r>
      <w:proofErr w:type="gramEnd"/>
      <w:r>
        <w:rPr>
          <w:rFonts w:ascii="Arial" w:hAnsi="Arial" w:cs="Arial"/>
          <w:iCs/>
          <w:color w:val="auto"/>
          <w:sz w:val="20"/>
          <w:szCs w:val="20"/>
        </w:rPr>
        <w:t xml:space="preserve"> We then applied these proportions to the “all-Norway” estimates of bycatch derived from the mark-reca</w:t>
      </w:r>
      <w:r w:rsidR="0007425A">
        <w:rPr>
          <w:rFonts w:ascii="Arial" w:hAnsi="Arial" w:cs="Arial"/>
          <w:iCs/>
          <w:color w:val="auto"/>
          <w:sz w:val="20"/>
          <w:szCs w:val="20"/>
        </w:rPr>
        <w:t>pture data (Table 2</w:t>
      </w:r>
      <w:r>
        <w:rPr>
          <w:rFonts w:ascii="Arial" w:hAnsi="Arial" w:cs="Arial"/>
          <w:iCs/>
          <w:color w:val="auto"/>
          <w:sz w:val="20"/>
          <w:szCs w:val="20"/>
        </w:rPr>
        <w:t>).</w:t>
      </w:r>
      <w:r w:rsidR="0007425A">
        <w:rPr>
          <w:rFonts w:ascii="Arial" w:hAnsi="Arial" w:cs="Arial"/>
          <w:iCs/>
          <w:color w:val="auto"/>
          <w:sz w:val="20"/>
          <w:szCs w:val="20"/>
        </w:rPr>
        <w:t xml:space="preserve"> Assuming a mean weight per individual in the bycatch of 60kg for harbour seal and 100kg for grey seal (the captured individuals were mainly young-of-the-year), yields a bycatch weight of both species combined in areas </w:t>
      </w:r>
      <w:r w:rsidR="0007425A">
        <w:rPr>
          <w:rFonts w:ascii="Arial" w:hAnsi="Arial" w:cs="Arial"/>
          <w:iCs/>
          <w:color w:val="auto"/>
          <w:sz w:val="20"/>
          <w:szCs w:val="20"/>
        </w:rPr>
        <w:t>03, 04 and 05</w:t>
      </w:r>
      <w:r w:rsidR="0007425A">
        <w:rPr>
          <w:rFonts w:ascii="Arial" w:hAnsi="Arial" w:cs="Arial"/>
          <w:iCs/>
          <w:color w:val="auto"/>
          <w:sz w:val="20"/>
          <w:szCs w:val="20"/>
        </w:rPr>
        <w:t xml:space="preserve"> of 17.5 tonnes.</w:t>
      </w:r>
    </w:p>
    <w:p w:rsidR="00847FE7" w:rsidRDefault="00847FE7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847FE7" w:rsidRDefault="00847FE7" w:rsidP="00D04CFA">
      <w:pPr>
        <w:pStyle w:val="Default"/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 w:rsidRPr="00847FE7">
        <w:rPr>
          <w:rFonts w:ascii="Arial" w:hAnsi="Arial" w:cs="Arial"/>
          <w:iCs/>
          <w:color w:val="auto"/>
          <w:sz w:val="20"/>
          <w:szCs w:val="20"/>
        </w:rPr>
        <w:t xml:space="preserve">The annual average Norwegian gillnet effort in areas </w:t>
      </w:r>
      <w:r w:rsidRPr="00847FE7">
        <w:rPr>
          <w:rFonts w:ascii="Arial" w:hAnsi="Arial" w:cs="Arial"/>
          <w:iCs/>
          <w:color w:val="auto"/>
          <w:sz w:val="20"/>
          <w:szCs w:val="20"/>
        </w:rPr>
        <w:t>03, 04 and 05</w:t>
      </w:r>
      <w:r w:rsidRPr="00847FE7">
        <w:rPr>
          <w:rFonts w:ascii="Arial" w:hAnsi="Arial" w:cs="Arial"/>
          <w:iCs/>
          <w:color w:val="auto"/>
          <w:sz w:val="20"/>
          <w:szCs w:val="20"/>
        </w:rPr>
        <w:t xml:space="preserve"> derived from data provided by the Norwegian Directorate of Fisheries was </w:t>
      </w:r>
      <w:r w:rsidRPr="00847FE7">
        <w:rPr>
          <w:rFonts w:ascii="Arial" w:eastAsia="Times New Roman" w:hAnsi="Arial" w:cs="Arial"/>
          <w:sz w:val="20"/>
          <w:szCs w:val="20"/>
          <w:shd w:val="clear" w:color="auto" w:fill="FFFFFF"/>
        </w:rPr>
        <w:t>94,641</w:t>
      </w:r>
      <w:r w:rsidRPr="00847FE7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hours. The estimated international gillnet effort within our Barents Sea model domain was </w:t>
      </w:r>
      <w:r w:rsidRPr="00847FE7">
        <w:rPr>
          <w:rFonts w:ascii="Arial" w:eastAsia="Times New Roman" w:hAnsi="Arial" w:cs="Arial"/>
          <w:sz w:val="20"/>
          <w:szCs w:val="20"/>
        </w:rPr>
        <w:t>33,489</w:t>
      </w:r>
      <w:r>
        <w:rPr>
          <w:rFonts w:ascii="Arial" w:eastAsia="Times New Roman" w:hAnsi="Arial" w:cs="Arial"/>
          <w:sz w:val="20"/>
          <w:szCs w:val="20"/>
        </w:rPr>
        <w:t xml:space="preserve"> hours</w:t>
      </w:r>
      <w:r w:rsidRPr="00847FE7">
        <w:rPr>
          <w:rFonts w:ascii="Arial" w:eastAsia="Times New Roman" w:hAnsi="Arial" w:cs="Arial"/>
          <w:sz w:val="20"/>
          <w:szCs w:val="20"/>
        </w:rPr>
        <w:t xml:space="preserve">. Hence the estimated bycatch within the model domain was </w:t>
      </w:r>
      <w:r w:rsidRPr="00847FE7">
        <w:rPr>
          <w:rFonts w:ascii="Arial" w:eastAsia="Times New Roman" w:hAnsi="Arial" w:cs="Arial"/>
          <w:b/>
          <w:sz w:val="20"/>
          <w:szCs w:val="20"/>
          <w:shd w:val="clear" w:color="auto" w:fill="FFFFFF"/>
        </w:rPr>
        <w:t>6.2 tonnes</w:t>
      </w:r>
      <w:r w:rsidR="00A7676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(Table 3).</w:t>
      </w:r>
    </w:p>
    <w:p w:rsidR="00847FE7" w:rsidRDefault="00847FE7" w:rsidP="00D04CFA">
      <w:pPr>
        <w:pStyle w:val="Default"/>
        <w:rPr>
          <w:rFonts w:ascii="Arial" w:eastAsia="Times New Roman" w:hAnsi="Arial" w:cs="Arial"/>
          <w:sz w:val="20"/>
          <w:szCs w:val="20"/>
          <w:shd w:val="clear" w:color="auto" w:fill="FFFFFF"/>
        </w:rPr>
      </w:pPr>
    </w:p>
    <w:p w:rsidR="00847FE7" w:rsidRPr="00847FE7" w:rsidRDefault="00847FE7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C97C2F" w:rsidRDefault="00C97C2F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C97C2F" w:rsidRDefault="00C97C2F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B26993" w:rsidRDefault="00B26993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B26993" w:rsidRDefault="00B26993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  <w:r w:rsidRPr="00B26993">
        <w:lastRenderedPageBreak/>
        <w:drawing>
          <wp:inline distT="0" distB="0" distL="0" distR="0" wp14:anchorId="4157A585" wp14:editId="5A75C478">
            <wp:extent cx="5565913" cy="62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703" t="20989" r="35731" b="19752"/>
                    <a:stretch/>
                  </pic:blipFill>
                  <pic:spPr bwMode="auto">
                    <a:xfrm>
                      <a:off x="0" y="0"/>
                      <a:ext cx="5572495" cy="627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993" w:rsidRPr="00BB7468" w:rsidRDefault="00BB7468" w:rsidP="00D04CFA">
      <w:pPr>
        <w:pStyle w:val="Default"/>
        <w:rPr>
          <w:rFonts w:ascii="Arial" w:hAnsi="Arial" w:cs="Arial"/>
          <w:i/>
          <w:iCs/>
          <w:color w:val="auto"/>
          <w:sz w:val="20"/>
          <w:szCs w:val="20"/>
        </w:rPr>
      </w:pPr>
      <w:proofErr w:type="gramStart"/>
      <w:r w:rsidRPr="00BB7468">
        <w:rPr>
          <w:rFonts w:ascii="Arial" w:hAnsi="Arial" w:cs="Arial"/>
          <w:b/>
          <w:i/>
          <w:iCs/>
          <w:color w:val="auto"/>
          <w:sz w:val="20"/>
          <w:szCs w:val="20"/>
        </w:rPr>
        <w:t>Figure 1</w:t>
      </w:r>
      <w:r w:rsidRPr="00BB7468">
        <w:rPr>
          <w:rFonts w:ascii="Arial" w:hAnsi="Arial" w:cs="Arial"/>
          <w:i/>
          <w:iCs/>
          <w:color w:val="auto"/>
          <w:sz w:val="20"/>
          <w:szCs w:val="20"/>
        </w:rPr>
        <w:t>.</w:t>
      </w:r>
      <w:proofErr w:type="gramEnd"/>
      <w:r w:rsidRPr="00BB7468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proofErr w:type="spellStart"/>
      <w:proofErr w:type="gramStart"/>
      <w:r w:rsidRPr="00BB7468">
        <w:rPr>
          <w:rFonts w:ascii="Arial" w:hAnsi="Arial" w:cs="Arial"/>
          <w:i/>
          <w:iCs/>
          <w:color w:val="auto"/>
          <w:sz w:val="20"/>
          <w:szCs w:val="20"/>
        </w:rPr>
        <w:t>Bjørge</w:t>
      </w:r>
      <w:proofErr w:type="spellEnd"/>
      <w:r w:rsidRPr="00BB7468">
        <w:rPr>
          <w:rFonts w:ascii="Arial" w:hAnsi="Arial" w:cs="Arial"/>
          <w:i/>
          <w:iCs/>
          <w:color w:val="auto"/>
          <w:sz w:val="20"/>
          <w:szCs w:val="20"/>
        </w:rPr>
        <w:t xml:space="preserve"> et al. (2017)</w:t>
      </w:r>
      <w:r w:rsidRPr="00BB7468">
        <w:rPr>
          <w:rFonts w:ascii="Arial" w:hAnsi="Arial" w:cs="Arial"/>
          <w:i/>
          <w:iCs/>
          <w:color w:val="auto"/>
          <w:sz w:val="20"/>
          <w:szCs w:val="20"/>
        </w:rPr>
        <w:t xml:space="preserve"> Figure 1.</w:t>
      </w:r>
      <w:proofErr w:type="gramEnd"/>
      <w:r w:rsidRPr="00BB7468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proofErr w:type="gramStart"/>
      <w:r w:rsidRPr="00BB7468">
        <w:rPr>
          <w:rFonts w:ascii="Arial" w:hAnsi="Arial" w:cs="Arial"/>
          <w:i/>
          <w:sz w:val="20"/>
          <w:szCs w:val="20"/>
        </w:rPr>
        <w:t>The nine coastal fishery statistics areas (red) and the 18 vessels constituting the Coastal Reference Fleet in 2005-2006.</w:t>
      </w:r>
      <w:proofErr w:type="gramEnd"/>
    </w:p>
    <w:p w:rsidR="00C97C2F" w:rsidRDefault="00C97C2F">
      <w:pPr>
        <w:rPr>
          <w:iCs/>
          <w:color w:val="auto"/>
          <w:szCs w:val="20"/>
          <w:lang w:eastAsia="en-US"/>
        </w:rPr>
      </w:pPr>
      <w:r>
        <w:rPr>
          <w:iCs/>
          <w:color w:val="auto"/>
          <w:szCs w:val="20"/>
        </w:rPr>
        <w:br w:type="page"/>
      </w:r>
    </w:p>
    <w:p w:rsidR="00B26993" w:rsidRDefault="00B26993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B26993" w:rsidRDefault="00B26993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B26993" w:rsidRDefault="00B26993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B26993" w:rsidRDefault="00B26993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  <w:r w:rsidRPr="00B26993">
        <w:drawing>
          <wp:inline distT="0" distB="0" distL="0" distR="0" wp14:anchorId="0A163B4C" wp14:editId="11ED8A36">
            <wp:extent cx="5789312" cy="249670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361" t="14321" r="13888" b="29104"/>
                    <a:stretch/>
                  </pic:blipFill>
                  <pic:spPr bwMode="auto">
                    <a:xfrm>
                      <a:off x="0" y="0"/>
                      <a:ext cx="5795960" cy="249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ED8" w:rsidRPr="00BB7468" w:rsidRDefault="00BB7468" w:rsidP="00D04CFA">
      <w:pPr>
        <w:pStyle w:val="Default"/>
        <w:rPr>
          <w:rFonts w:ascii="Arial" w:hAnsi="Arial" w:cs="Arial"/>
          <w:i/>
          <w:iCs/>
          <w:color w:val="auto"/>
          <w:sz w:val="20"/>
          <w:szCs w:val="20"/>
        </w:rPr>
      </w:pPr>
      <w:proofErr w:type="gramStart"/>
      <w:r w:rsidRPr="00BB7468">
        <w:rPr>
          <w:rFonts w:ascii="Arial" w:hAnsi="Arial" w:cs="Arial"/>
          <w:b/>
          <w:i/>
          <w:iCs/>
          <w:color w:val="auto"/>
          <w:sz w:val="20"/>
          <w:szCs w:val="20"/>
        </w:rPr>
        <w:t>Figure 2</w:t>
      </w:r>
      <w:r w:rsidRPr="00BB7468">
        <w:rPr>
          <w:rFonts w:ascii="Arial" w:hAnsi="Arial" w:cs="Arial"/>
          <w:i/>
          <w:iCs/>
          <w:color w:val="auto"/>
          <w:sz w:val="20"/>
          <w:szCs w:val="20"/>
        </w:rPr>
        <w:t>.</w:t>
      </w:r>
      <w:proofErr w:type="gramEnd"/>
      <w:r w:rsidRPr="00BB7468">
        <w:rPr>
          <w:rFonts w:ascii="Arial" w:hAnsi="Arial" w:cs="Arial"/>
          <w:i/>
          <w:iCs/>
          <w:color w:val="auto"/>
          <w:sz w:val="20"/>
          <w:szCs w:val="20"/>
        </w:rPr>
        <w:t xml:space="preserve"> </w:t>
      </w:r>
      <w:proofErr w:type="spellStart"/>
      <w:proofErr w:type="gramStart"/>
      <w:r w:rsidRPr="00BB7468">
        <w:rPr>
          <w:rFonts w:ascii="Arial" w:hAnsi="Arial" w:cs="Arial"/>
          <w:i/>
          <w:iCs/>
          <w:color w:val="auto"/>
          <w:sz w:val="20"/>
          <w:szCs w:val="20"/>
        </w:rPr>
        <w:t>Bjørge</w:t>
      </w:r>
      <w:proofErr w:type="spellEnd"/>
      <w:r w:rsidRPr="00BB7468">
        <w:rPr>
          <w:rFonts w:ascii="Arial" w:hAnsi="Arial" w:cs="Arial"/>
          <w:i/>
          <w:iCs/>
          <w:color w:val="auto"/>
          <w:sz w:val="20"/>
          <w:szCs w:val="20"/>
        </w:rPr>
        <w:t xml:space="preserve"> et al. (2017)</w:t>
      </w:r>
      <w:r w:rsidRPr="00BB7468">
        <w:rPr>
          <w:rFonts w:ascii="Arial" w:hAnsi="Arial" w:cs="Arial"/>
          <w:i/>
          <w:iCs/>
          <w:color w:val="auto"/>
          <w:sz w:val="20"/>
          <w:szCs w:val="20"/>
        </w:rPr>
        <w:t xml:space="preserve"> Figure 3</w:t>
      </w:r>
      <w:r w:rsidRPr="00BB7468">
        <w:rPr>
          <w:rFonts w:ascii="Arial" w:hAnsi="Arial" w:cs="Arial"/>
          <w:i/>
          <w:iCs/>
          <w:color w:val="auto"/>
          <w:sz w:val="20"/>
          <w:szCs w:val="20"/>
        </w:rPr>
        <w:t>.</w:t>
      </w:r>
      <w:proofErr w:type="gramEnd"/>
      <w:r w:rsidRPr="00BB7468">
        <w:rPr>
          <w:rFonts w:ascii="Arial" w:hAnsi="Arial" w:cs="Arial"/>
          <w:i/>
          <w:iCs/>
          <w:color w:val="auto"/>
          <w:sz w:val="20"/>
          <w:szCs w:val="20"/>
        </w:rPr>
        <w:t xml:space="preserve"> H</w:t>
      </w:r>
      <w:r w:rsidRPr="00BB7468">
        <w:rPr>
          <w:rFonts w:ascii="Arial" w:hAnsi="Arial" w:cs="Arial"/>
          <w:i/>
          <w:sz w:val="20"/>
          <w:szCs w:val="20"/>
        </w:rPr>
        <w:t xml:space="preserve">arbour seal (left) and </w:t>
      </w:r>
      <w:proofErr w:type="spellStart"/>
      <w:r w:rsidRPr="00BB7468">
        <w:rPr>
          <w:rFonts w:ascii="Arial" w:hAnsi="Arial" w:cs="Arial"/>
          <w:i/>
          <w:sz w:val="20"/>
          <w:szCs w:val="20"/>
        </w:rPr>
        <w:t>gray</w:t>
      </w:r>
      <w:proofErr w:type="spellEnd"/>
      <w:r w:rsidRPr="00BB7468">
        <w:rPr>
          <w:rFonts w:ascii="Arial" w:hAnsi="Arial" w:cs="Arial"/>
          <w:i/>
          <w:sz w:val="20"/>
          <w:szCs w:val="20"/>
        </w:rPr>
        <w:t xml:space="preserve"> seal (right) bycatch </w:t>
      </w:r>
      <w:r w:rsidRPr="00BB7468">
        <w:rPr>
          <w:rFonts w:ascii="Arial" w:hAnsi="Arial" w:cs="Arial"/>
          <w:i/>
          <w:sz w:val="20"/>
          <w:szCs w:val="20"/>
        </w:rPr>
        <w:t>over</w:t>
      </w:r>
      <w:r w:rsidRPr="00BB7468">
        <w:rPr>
          <w:rFonts w:ascii="Arial" w:hAnsi="Arial" w:cs="Arial"/>
          <w:i/>
          <w:sz w:val="20"/>
          <w:szCs w:val="20"/>
        </w:rPr>
        <w:t xml:space="preserve"> the </w:t>
      </w:r>
      <w:r w:rsidRPr="00BB7468">
        <w:rPr>
          <w:rFonts w:ascii="Arial" w:hAnsi="Arial" w:cs="Arial"/>
          <w:i/>
          <w:sz w:val="20"/>
          <w:szCs w:val="20"/>
        </w:rPr>
        <w:t xml:space="preserve">9 year </w:t>
      </w:r>
      <w:r w:rsidRPr="00BB7468">
        <w:rPr>
          <w:rFonts w:ascii="Arial" w:hAnsi="Arial" w:cs="Arial"/>
          <w:i/>
          <w:sz w:val="20"/>
          <w:szCs w:val="20"/>
        </w:rPr>
        <w:t xml:space="preserve">period 2006 – 2014 from </w:t>
      </w:r>
      <w:r w:rsidRPr="00BB7468">
        <w:rPr>
          <w:rFonts w:ascii="Arial" w:hAnsi="Arial" w:cs="Arial"/>
          <w:i/>
          <w:sz w:val="20"/>
          <w:szCs w:val="20"/>
        </w:rPr>
        <w:t xml:space="preserve">GAM </w:t>
      </w:r>
      <w:r w:rsidRPr="00BB7468">
        <w:rPr>
          <w:rFonts w:ascii="Arial" w:hAnsi="Arial" w:cs="Arial"/>
          <w:i/>
          <w:sz w:val="20"/>
          <w:szCs w:val="20"/>
        </w:rPr>
        <w:t xml:space="preserve">models </w:t>
      </w:r>
      <w:r w:rsidRPr="00BB7468">
        <w:rPr>
          <w:rFonts w:ascii="Arial" w:hAnsi="Arial" w:cs="Arial"/>
          <w:i/>
          <w:sz w:val="20"/>
          <w:szCs w:val="20"/>
        </w:rPr>
        <w:t>of catch rates in the Norwegian coastal gillnet fleet</w:t>
      </w:r>
      <w:r w:rsidRPr="00BB7468">
        <w:rPr>
          <w:rFonts w:ascii="Arial" w:hAnsi="Arial" w:cs="Arial"/>
          <w:i/>
          <w:sz w:val="20"/>
          <w:szCs w:val="20"/>
        </w:rPr>
        <w:t xml:space="preserve">, aggregated by </w:t>
      </w:r>
      <w:r w:rsidRPr="00BB7468">
        <w:rPr>
          <w:rFonts w:ascii="Arial" w:hAnsi="Arial" w:cs="Arial"/>
          <w:i/>
          <w:sz w:val="20"/>
          <w:szCs w:val="20"/>
        </w:rPr>
        <w:t xml:space="preserve">statistical </w:t>
      </w:r>
      <w:r w:rsidRPr="00BB7468">
        <w:rPr>
          <w:rFonts w:ascii="Arial" w:hAnsi="Arial" w:cs="Arial"/>
          <w:i/>
          <w:sz w:val="20"/>
          <w:szCs w:val="20"/>
        </w:rPr>
        <w:t>area.</w:t>
      </w:r>
    </w:p>
    <w:p w:rsidR="00004ED8" w:rsidRDefault="00004ED8" w:rsidP="00D04CFA">
      <w:pPr>
        <w:pStyle w:val="Default"/>
        <w:rPr>
          <w:rFonts w:ascii="Arial" w:hAnsi="Arial" w:cs="Arial"/>
          <w:iCs/>
          <w:color w:val="auto"/>
          <w:sz w:val="20"/>
          <w:szCs w:val="20"/>
        </w:rPr>
      </w:pPr>
    </w:p>
    <w:p w:rsidR="00004ED8" w:rsidRDefault="00004ED8" w:rsidP="00D04CFA">
      <w:pPr>
        <w:pStyle w:val="Default"/>
        <w:rPr>
          <w:rFonts w:ascii="Arial" w:hAnsi="Arial" w:cs="Arial"/>
          <w:sz w:val="20"/>
          <w:szCs w:val="20"/>
        </w:rPr>
      </w:pPr>
    </w:p>
    <w:p w:rsidR="00C97C2F" w:rsidRDefault="00C97C2F" w:rsidP="00D04CFA">
      <w:pPr>
        <w:pStyle w:val="Default"/>
        <w:rPr>
          <w:rFonts w:ascii="Arial" w:hAnsi="Arial" w:cs="Arial"/>
          <w:sz w:val="20"/>
          <w:szCs w:val="20"/>
        </w:rPr>
      </w:pPr>
    </w:p>
    <w:p w:rsidR="00C97C2F" w:rsidRPr="00847FE7" w:rsidRDefault="00C97C2F" w:rsidP="00D04CFA">
      <w:pPr>
        <w:pStyle w:val="Default"/>
        <w:rPr>
          <w:rFonts w:ascii="Arial" w:hAnsi="Arial" w:cs="Arial"/>
          <w:i/>
          <w:sz w:val="20"/>
          <w:szCs w:val="20"/>
        </w:rPr>
      </w:pPr>
      <w:proofErr w:type="gramStart"/>
      <w:r w:rsidRPr="00847FE7">
        <w:rPr>
          <w:rFonts w:ascii="Arial" w:hAnsi="Arial" w:cs="Arial"/>
          <w:b/>
          <w:i/>
          <w:sz w:val="20"/>
          <w:szCs w:val="20"/>
        </w:rPr>
        <w:t>Table 1</w:t>
      </w:r>
      <w:r w:rsidRPr="00847FE7">
        <w:rPr>
          <w:rFonts w:ascii="Arial" w:hAnsi="Arial" w:cs="Arial"/>
          <w:i/>
          <w:sz w:val="20"/>
          <w:szCs w:val="20"/>
        </w:rPr>
        <w:t>.</w:t>
      </w:r>
      <w:proofErr w:type="gramEnd"/>
      <w:r w:rsidRPr="00847FE7">
        <w:rPr>
          <w:rFonts w:ascii="Arial" w:hAnsi="Arial" w:cs="Arial"/>
          <w:i/>
          <w:sz w:val="20"/>
          <w:szCs w:val="20"/>
        </w:rPr>
        <w:t xml:space="preserve"> </w:t>
      </w:r>
      <w:r w:rsidR="00337A83" w:rsidRPr="00847FE7">
        <w:rPr>
          <w:rFonts w:ascii="Arial" w:hAnsi="Arial" w:cs="Arial"/>
          <w:i/>
          <w:sz w:val="20"/>
          <w:szCs w:val="20"/>
        </w:rPr>
        <w:t>D</w:t>
      </w:r>
      <w:r w:rsidRPr="00847FE7">
        <w:rPr>
          <w:rFonts w:ascii="Arial" w:hAnsi="Arial" w:cs="Arial"/>
          <w:i/>
          <w:sz w:val="20"/>
          <w:szCs w:val="20"/>
        </w:rPr>
        <w:t>igitised data from Figure 2, giving the mean annual seal bycatches by region during the 9 year period 2006-2014.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260"/>
        <w:gridCol w:w="3119"/>
      </w:tblGrid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Statistical area</w:t>
            </w:r>
          </w:p>
        </w:tc>
        <w:tc>
          <w:tcPr>
            <w:tcW w:w="3260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Harbour seals 2006-2014 bycatch</w:t>
            </w:r>
          </w:p>
        </w:tc>
        <w:tc>
          <w:tcPr>
            <w:tcW w:w="3119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Grey</w:t>
            </w:r>
            <w:r>
              <w:rPr>
                <w:rFonts w:ascii="Arial" w:hAnsi="Arial" w:cs="Arial"/>
                <w:sz w:val="20"/>
                <w:szCs w:val="20"/>
              </w:rPr>
              <w:t xml:space="preserve"> seals 2006-2014</w:t>
            </w:r>
            <w:r>
              <w:rPr>
                <w:rFonts w:ascii="Arial" w:hAnsi="Arial" w:cs="Arial"/>
                <w:sz w:val="20"/>
                <w:szCs w:val="20"/>
              </w:rPr>
              <w:t xml:space="preserve"> bycatch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38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34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88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102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113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121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1163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116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988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129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1263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171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388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43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188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20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175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27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2006-2014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4400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763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 annual bycatch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489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85</w:t>
            </w:r>
          </w:p>
        </w:tc>
      </w:tr>
      <w:tr w:rsidR="00337A83" w:rsidTr="00337A83">
        <w:tc>
          <w:tcPr>
            <w:tcW w:w="2518" w:type="dxa"/>
          </w:tcPr>
          <w:p w:rsidR="00337A83" w:rsidRDefault="00337A83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Proportion from areas 03, 04 and 05</w:t>
            </w:r>
          </w:p>
        </w:tc>
        <w:tc>
          <w:tcPr>
            <w:tcW w:w="3260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0.0540</w:t>
            </w:r>
          </w:p>
        </w:tc>
        <w:tc>
          <w:tcPr>
            <w:tcW w:w="3119" w:type="dxa"/>
          </w:tcPr>
          <w:p w:rsidR="00337A83" w:rsidRDefault="00337A8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0.3372</w:t>
            </w:r>
          </w:p>
        </w:tc>
      </w:tr>
    </w:tbl>
    <w:p w:rsidR="00C97C2F" w:rsidRDefault="00C97C2F" w:rsidP="00D04CFA">
      <w:pPr>
        <w:pStyle w:val="Default"/>
        <w:rPr>
          <w:rFonts w:ascii="Arial" w:hAnsi="Arial" w:cs="Arial"/>
          <w:sz w:val="20"/>
          <w:szCs w:val="20"/>
        </w:rPr>
      </w:pPr>
    </w:p>
    <w:p w:rsidR="0007425A" w:rsidRPr="00847FE7" w:rsidRDefault="0007425A" w:rsidP="00D04CFA">
      <w:pPr>
        <w:pStyle w:val="Default"/>
        <w:rPr>
          <w:rFonts w:ascii="Arial" w:hAnsi="Arial" w:cs="Arial"/>
          <w:i/>
          <w:sz w:val="20"/>
          <w:szCs w:val="20"/>
        </w:rPr>
      </w:pPr>
      <w:proofErr w:type="gramStart"/>
      <w:r w:rsidRPr="00847FE7">
        <w:rPr>
          <w:rFonts w:ascii="Arial" w:hAnsi="Arial" w:cs="Arial"/>
          <w:b/>
          <w:i/>
          <w:sz w:val="20"/>
          <w:szCs w:val="20"/>
        </w:rPr>
        <w:t>Table 2</w:t>
      </w:r>
      <w:r w:rsidRPr="00847FE7">
        <w:rPr>
          <w:rFonts w:ascii="Arial" w:hAnsi="Arial" w:cs="Arial"/>
          <w:i/>
          <w:sz w:val="20"/>
          <w:szCs w:val="20"/>
        </w:rPr>
        <w:t>.</w:t>
      </w:r>
      <w:proofErr w:type="gramEnd"/>
      <w:r w:rsidRPr="00847FE7">
        <w:rPr>
          <w:rFonts w:ascii="Arial" w:hAnsi="Arial" w:cs="Arial"/>
          <w:i/>
          <w:sz w:val="20"/>
          <w:szCs w:val="20"/>
        </w:rPr>
        <w:t xml:space="preserve"> Estimation of the mean annual bycatch weight of harbour seals in areas 03, 04 and 05. The combined bycatch weight of both species is 17.5 tonnes.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1701"/>
        <w:gridCol w:w="1843"/>
      </w:tblGrid>
      <w:tr w:rsidR="00C83CFC" w:rsidTr="0007425A">
        <w:tc>
          <w:tcPr>
            <w:tcW w:w="5353" w:type="dxa"/>
          </w:tcPr>
          <w:p w:rsidR="00C83CFC" w:rsidRDefault="00C83CFC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C83CFC" w:rsidRDefault="00C83CFC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Harbour seal</w:t>
            </w:r>
          </w:p>
        </w:tc>
        <w:tc>
          <w:tcPr>
            <w:tcW w:w="1843" w:type="dxa"/>
          </w:tcPr>
          <w:p w:rsidR="00C83CFC" w:rsidRDefault="00C83CFC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Grey seal</w:t>
            </w:r>
          </w:p>
        </w:tc>
      </w:tr>
      <w:tr w:rsidR="00C83CFC" w:rsidTr="0007425A">
        <w:tc>
          <w:tcPr>
            <w:tcW w:w="5353" w:type="dxa"/>
          </w:tcPr>
          <w:p w:rsidR="00C83CFC" w:rsidRDefault="00C83CFC" w:rsidP="00337A8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“All-Norway” mean annual bycatch from mark-recapture</w:t>
            </w:r>
          </w:p>
        </w:tc>
        <w:tc>
          <w:tcPr>
            <w:tcW w:w="1701" w:type="dxa"/>
          </w:tcPr>
          <w:p w:rsidR="00C83CFC" w:rsidRDefault="00C83CFC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</w:t>
            </w:r>
          </w:p>
        </w:tc>
        <w:tc>
          <w:tcPr>
            <w:tcW w:w="1843" w:type="dxa"/>
          </w:tcPr>
          <w:p w:rsidR="00C83CFC" w:rsidRDefault="00C83CFC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466</w:t>
            </w:r>
          </w:p>
        </w:tc>
      </w:tr>
      <w:tr w:rsidR="00C83CFC" w:rsidTr="0007425A">
        <w:tc>
          <w:tcPr>
            <w:tcW w:w="5353" w:type="dxa"/>
          </w:tcPr>
          <w:p w:rsidR="00C83CFC" w:rsidRDefault="00C83CFC" w:rsidP="00C83CF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Proportion from areas 03, 04, 05 from reference fleet analysis (Table 1)</w:t>
            </w:r>
          </w:p>
        </w:tc>
        <w:tc>
          <w:tcPr>
            <w:tcW w:w="1701" w:type="dxa"/>
          </w:tcPr>
          <w:p w:rsidR="00C83CFC" w:rsidRDefault="00C83CFC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0.0540</w:t>
            </w:r>
          </w:p>
        </w:tc>
        <w:tc>
          <w:tcPr>
            <w:tcW w:w="1843" w:type="dxa"/>
          </w:tcPr>
          <w:p w:rsidR="00C83CFC" w:rsidRDefault="00C83CFC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0.3372</w:t>
            </w:r>
          </w:p>
        </w:tc>
      </w:tr>
      <w:tr w:rsidR="00C83CFC" w:rsidTr="0007425A">
        <w:tc>
          <w:tcPr>
            <w:tcW w:w="5353" w:type="dxa"/>
          </w:tcPr>
          <w:p w:rsidR="00C83CFC" w:rsidRDefault="00C83CFC" w:rsidP="00C83CF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ark-recapture</w:t>
            </w:r>
            <w:r>
              <w:rPr>
                <w:rFonts w:ascii="Arial" w:hAnsi="Arial" w:cs="Arial"/>
                <w:sz w:val="20"/>
                <w:szCs w:val="20"/>
              </w:rPr>
              <w:t xml:space="preserve"> mean annual bycatch from areas 03, 04 , 05</w:t>
            </w:r>
          </w:p>
        </w:tc>
        <w:tc>
          <w:tcPr>
            <w:tcW w:w="1701" w:type="dxa"/>
          </w:tcPr>
          <w:p w:rsidR="00C83CFC" w:rsidRDefault="00C83CFC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43" w:type="dxa"/>
          </w:tcPr>
          <w:p w:rsidR="00C83CFC" w:rsidRDefault="00C83CFC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C83CFC" w:rsidTr="0007425A">
        <w:tc>
          <w:tcPr>
            <w:tcW w:w="5353" w:type="dxa"/>
          </w:tcPr>
          <w:p w:rsidR="00C83CFC" w:rsidRDefault="00C83CFC" w:rsidP="00C83CF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 body weight (kg)</w:t>
            </w:r>
          </w:p>
        </w:tc>
        <w:tc>
          <w:tcPr>
            <w:tcW w:w="1701" w:type="dxa"/>
          </w:tcPr>
          <w:p w:rsidR="00C83CFC" w:rsidRDefault="00C83CFC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843" w:type="dxa"/>
          </w:tcPr>
          <w:p w:rsidR="00C83CFC" w:rsidRDefault="00C83CFC" w:rsidP="00D04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C83CFC" w:rsidTr="0007425A">
        <w:tc>
          <w:tcPr>
            <w:tcW w:w="5353" w:type="dxa"/>
          </w:tcPr>
          <w:p w:rsidR="00C83CFC" w:rsidRDefault="0007425A" w:rsidP="00C83CF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Bycatch weight in areas 03, 04, 05 (tonnes)</w:t>
            </w:r>
          </w:p>
        </w:tc>
        <w:tc>
          <w:tcPr>
            <w:tcW w:w="1701" w:type="dxa"/>
          </w:tcPr>
          <w:p w:rsidR="00C83CFC" w:rsidRDefault="0007425A" w:rsidP="000742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1843" w:type="dxa"/>
          </w:tcPr>
          <w:p w:rsidR="00C83CFC" w:rsidRDefault="0007425A" w:rsidP="000742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</w:t>
            </w:r>
          </w:p>
        </w:tc>
      </w:tr>
    </w:tbl>
    <w:p w:rsidR="00C97C2F" w:rsidRDefault="00C97C2F" w:rsidP="00D04CFA">
      <w:pPr>
        <w:pStyle w:val="Default"/>
        <w:rPr>
          <w:rFonts w:ascii="Arial" w:hAnsi="Arial" w:cs="Arial"/>
          <w:sz w:val="20"/>
          <w:szCs w:val="20"/>
        </w:rPr>
      </w:pPr>
    </w:p>
    <w:p w:rsidR="00C83CFC" w:rsidRDefault="00C83CFC" w:rsidP="00C83CFC">
      <w:pPr>
        <w:spacing w:after="0" w:line="240" w:lineRule="auto"/>
        <w:rPr>
          <w:szCs w:val="20"/>
        </w:rPr>
      </w:pPr>
    </w:p>
    <w:p w:rsidR="00907F18" w:rsidRPr="005865DE" w:rsidRDefault="00907F18" w:rsidP="00273230">
      <w:pPr>
        <w:spacing w:after="0" w:line="240" w:lineRule="auto"/>
        <w:rPr>
          <w:szCs w:val="20"/>
        </w:rPr>
      </w:pPr>
    </w:p>
    <w:p w:rsidR="00A7676B" w:rsidRPr="006D6F6F" w:rsidRDefault="00A7676B" w:rsidP="00A7676B">
      <w:pPr>
        <w:spacing w:after="0" w:line="240" w:lineRule="auto"/>
        <w:rPr>
          <w:i/>
          <w:szCs w:val="20"/>
        </w:rPr>
      </w:pPr>
      <w:proofErr w:type="gramStart"/>
      <w:r w:rsidRPr="006D6F6F">
        <w:rPr>
          <w:b/>
          <w:i/>
          <w:szCs w:val="20"/>
        </w:rPr>
        <w:lastRenderedPageBreak/>
        <w:t>Table 3</w:t>
      </w:r>
      <w:r w:rsidRPr="006D6F6F">
        <w:rPr>
          <w:i/>
          <w:szCs w:val="20"/>
        </w:rPr>
        <w:t>.</w:t>
      </w:r>
      <w:proofErr w:type="gramEnd"/>
      <w:r w:rsidRPr="006D6F6F">
        <w:rPr>
          <w:i/>
          <w:szCs w:val="20"/>
        </w:rPr>
        <w:t xml:space="preserve"> </w:t>
      </w:r>
      <w:proofErr w:type="gramStart"/>
      <w:r w:rsidRPr="006D6F6F">
        <w:rPr>
          <w:i/>
          <w:szCs w:val="20"/>
        </w:rPr>
        <w:t xml:space="preserve">Extrapolation of </w:t>
      </w:r>
      <w:r w:rsidRPr="006D6F6F">
        <w:rPr>
          <w:i/>
          <w:szCs w:val="20"/>
        </w:rPr>
        <w:t>areas 03, 04, 05 pinniped</w:t>
      </w:r>
      <w:r w:rsidRPr="006D6F6F">
        <w:rPr>
          <w:i/>
          <w:szCs w:val="20"/>
        </w:rPr>
        <w:t xml:space="preserve"> annual bycatch (</w:t>
      </w:r>
      <w:r w:rsidRPr="006D6F6F">
        <w:rPr>
          <w:i/>
          <w:szCs w:val="20"/>
        </w:rPr>
        <w:t>tonnes</w:t>
      </w:r>
      <w:r w:rsidRPr="006D6F6F">
        <w:rPr>
          <w:i/>
          <w:szCs w:val="20"/>
        </w:rPr>
        <w:t>) to total Barents Sea.</w:t>
      </w:r>
      <w:proofErr w:type="gramEnd"/>
      <w:r w:rsidRPr="006D6F6F">
        <w:rPr>
          <w:i/>
          <w:szCs w:val="20"/>
        </w:rPr>
        <w:t xml:space="preserve"> Note that only part of statistical area 5 is within the Barents Sea model domain, which accounts for the fact that Barents Sea </w:t>
      </w:r>
      <w:proofErr w:type="gramStart"/>
      <w:r w:rsidRPr="006D6F6F">
        <w:rPr>
          <w:i/>
          <w:szCs w:val="20"/>
        </w:rPr>
        <w:t>gillnet</w:t>
      </w:r>
      <w:proofErr w:type="gramEnd"/>
      <w:r w:rsidRPr="006D6F6F">
        <w:rPr>
          <w:i/>
          <w:szCs w:val="20"/>
        </w:rPr>
        <w:t xml:space="preserve"> activity is less than that in areas 3, 4, 5.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984"/>
        <w:gridCol w:w="2126"/>
        <w:gridCol w:w="2410"/>
        <w:gridCol w:w="1559"/>
      </w:tblGrid>
      <w:tr w:rsidR="00A7676B" w:rsidTr="00A7676B">
        <w:tc>
          <w:tcPr>
            <w:tcW w:w="993" w:type="dxa"/>
          </w:tcPr>
          <w:p w:rsidR="00A7676B" w:rsidRPr="00273230" w:rsidRDefault="00A7676B" w:rsidP="0081579B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Gear</w:t>
            </w:r>
          </w:p>
        </w:tc>
        <w:tc>
          <w:tcPr>
            <w:tcW w:w="1984" w:type="dxa"/>
          </w:tcPr>
          <w:p w:rsidR="00A7676B" w:rsidRPr="00273230" w:rsidRDefault="00A7676B" w:rsidP="008157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2011-2019 annual average Norwegian activity in areas 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3, </w:t>
            </w:r>
            <w:r>
              <w:rPr>
                <w:sz w:val="18"/>
                <w:szCs w:val="18"/>
              </w:rPr>
              <w:t>04,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 (hours fish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ng)</w:t>
            </w:r>
          </w:p>
        </w:tc>
        <w:tc>
          <w:tcPr>
            <w:tcW w:w="2126" w:type="dxa"/>
          </w:tcPr>
          <w:p w:rsidR="00A7676B" w:rsidRPr="00273230" w:rsidRDefault="00A7676B" w:rsidP="00A76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1997-2014</w:t>
            </w:r>
            <w:r>
              <w:rPr>
                <w:sz w:val="18"/>
                <w:szCs w:val="18"/>
              </w:rPr>
              <w:t xml:space="preserve"> a</w:t>
            </w:r>
            <w:r w:rsidRPr="00273230">
              <w:rPr>
                <w:sz w:val="18"/>
                <w:szCs w:val="18"/>
              </w:rPr>
              <w:t xml:space="preserve">nnual </w:t>
            </w:r>
            <w:r>
              <w:rPr>
                <w:sz w:val="18"/>
                <w:szCs w:val="18"/>
              </w:rPr>
              <w:t xml:space="preserve">average </w:t>
            </w:r>
            <w:r>
              <w:rPr>
                <w:sz w:val="18"/>
                <w:szCs w:val="18"/>
              </w:rPr>
              <w:t>pinniped</w:t>
            </w:r>
            <w:r>
              <w:rPr>
                <w:sz w:val="18"/>
                <w:szCs w:val="18"/>
              </w:rPr>
              <w:t xml:space="preserve"> </w:t>
            </w:r>
            <w:r w:rsidRPr="00273230">
              <w:rPr>
                <w:sz w:val="18"/>
                <w:szCs w:val="18"/>
              </w:rPr>
              <w:t>bycatch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 areas 03, 04, 05 (tonnes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A7676B" w:rsidRPr="00273230" w:rsidRDefault="00A7676B" w:rsidP="008157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2011-2019 annual average international activity in the Barents Sea model domain (hours fishing)</w:t>
            </w:r>
          </w:p>
        </w:tc>
        <w:tc>
          <w:tcPr>
            <w:tcW w:w="1559" w:type="dxa"/>
          </w:tcPr>
          <w:p w:rsidR="00A7676B" w:rsidRPr="00A7676B" w:rsidRDefault="00A7676B" w:rsidP="00A7676B">
            <w:pPr>
              <w:rPr>
                <w:b/>
                <w:sz w:val="18"/>
                <w:szCs w:val="18"/>
              </w:rPr>
            </w:pPr>
            <w:r w:rsidRPr="00A7676B">
              <w:rPr>
                <w:b/>
                <w:sz w:val="18"/>
                <w:szCs w:val="18"/>
              </w:rPr>
              <w:t>Barents Sea fleet total annual bycatch (</w:t>
            </w:r>
            <w:r w:rsidRPr="00A7676B">
              <w:rPr>
                <w:b/>
                <w:sz w:val="18"/>
                <w:szCs w:val="18"/>
              </w:rPr>
              <w:t>tonnes</w:t>
            </w:r>
            <w:r w:rsidRPr="00A7676B">
              <w:rPr>
                <w:b/>
                <w:sz w:val="18"/>
                <w:szCs w:val="18"/>
              </w:rPr>
              <w:t>)</w:t>
            </w:r>
          </w:p>
        </w:tc>
      </w:tr>
      <w:tr w:rsidR="00A7676B" w:rsidTr="00A7676B">
        <w:tc>
          <w:tcPr>
            <w:tcW w:w="993" w:type="dxa"/>
          </w:tcPr>
          <w:p w:rsidR="00A7676B" w:rsidRPr="00273230" w:rsidRDefault="00A7676B" w:rsidP="0081579B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Gillnets</w:t>
            </w:r>
          </w:p>
        </w:tc>
        <w:tc>
          <w:tcPr>
            <w:tcW w:w="1984" w:type="dxa"/>
          </w:tcPr>
          <w:p w:rsidR="00A7676B" w:rsidRPr="001C0E69" w:rsidRDefault="00A7676B" w:rsidP="0081579B">
            <w:pPr>
              <w:rPr>
                <w:sz w:val="18"/>
                <w:szCs w:val="18"/>
              </w:rPr>
            </w:pPr>
            <w:r w:rsidRPr="001C0E69">
              <w:rPr>
                <w:rFonts w:eastAsia="Times New Roman"/>
                <w:sz w:val="18"/>
                <w:szCs w:val="18"/>
                <w:shd w:val="clear" w:color="auto" w:fill="FFFFFF"/>
              </w:rPr>
              <w:t>94,641</w:t>
            </w:r>
          </w:p>
        </w:tc>
        <w:tc>
          <w:tcPr>
            <w:tcW w:w="2126" w:type="dxa"/>
          </w:tcPr>
          <w:p w:rsidR="00A7676B" w:rsidRPr="00273230" w:rsidRDefault="00A7676B" w:rsidP="008157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</w:t>
            </w:r>
          </w:p>
        </w:tc>
        <w:tc>
          <w:tcPr>
            <w:tcW w:w="2410" w:type="dxa"/>
          </w:tcPr>
          <w:p w:rsidR="00A7676B" w:rsidRPr="001C0E69" w:rsidRDefault="00A7676B" w:rsidP="0081579B">
            <w:pPr>
              <w:rPr>
                <w:sz w:val="18"/>
                <w:szCs w:val="18"/>
              </w:rPr>
            </w:pPr>
            <w:r w:rsidRPr="001C0E69">
              <w:rPr>
                <w:rFonts w:eastAsia="Times New Roman"/>
                <w:sz w:val="18"/>
                <w:szCs w:val="18"/>
              </w:rPr>
              <w:t>33,489</w:t>
            </w:r>
          </w:p>
        </w:tc>
        <w:tc>
          <w:tcPr>
            <w:tcW w:w="1559" w:type="dxa"/>
          </w:tcPr>
          <w:p w:rsidR="00A7676B" w:rsidRPr="00A7676B" w:rsidRDefault="00A7676B" w:rsidP="0081579B">
            <w:pPr>
              <w:rPr>
                <w:b/>
                <w:sz w:val="18"/>
                <w:szCs w:val="18"/>
              </w:rPr>
            </w:pPr>
            <w:r w:rsidRPr="00A7676B">
              <w:rPr>
                <w:b/>
                <w:color w:val="FF0000"/>
                <w:sz w:val="18"/>
                <w:szCs w:val="18"/>
              </w:rPr>
              <w:t>6.2</w:t>
            </w:r>
          </w:p>
        </w:tc>
      </w:tr>
    </w:tbl>
    <w:p w:rsidR="00A7676B" w:rsidRDefault="00A7676B" w:rsidP="00A7676B">
      <w:pPr>
        <w:spacing w:after="0" w:line="240" w:lineRule="auto"/>
        <w:rPr>
          <w:szCs w:val="20"/>
        </w:rPr>
      </w:pPr>
    </w:p>
    <w:p w:rsidR="00847FE7" w:rsidRDefault="00847FE7" w:rsidP="00273230">
      <w:pPr>
        <w:spacing w:after="0" w:line="240" w:lineRule="auto"/>
        <w:rPr>
          <w:szCs w:val="20"/>
        </w:rPr>
      </w:pPr>
    </w:p>
    <w:p w:rsidR="00907F18" w:rsidRPr="0000263F" w:rsidRDefault="00C031F5" w:rsidP="00273230">
      <w:pPr>
        <w:spacing w:after="0" w:line="240" w:lineRule="auto"/>
        <w:rPr>
          <w:b/>
          <w:szCs w:val="20"/>
        </w:rPr>
      </w:pPr>
      <w:r w:rsidRPr="0000263F">
        <w:rPr>
          <w:b/>
          <w:szCs w:val="20"/>
        </w:rPr>
        <w:t>References</w:t>
      </w:r>
    </w:p>
    <w:p w:rsidR="003C758A" w:rsidRDefault="003C758A" w:rsidP="00273230">
      <w:pPr>
        <w:spacing w:after="0" w:line="240" w:lineRule="auto"/>
        <w:rPr>
          <w:szCs w:val="20"/>
        </w:rPr>
      </w:pPr>
      <w:bookmarkStart w:id="0" w:name="_GoBack"/>
      <w:bookmarkEnd w:id="0"/>
    </w:p>
    <w:p w:rsidR="00BB7468" w:rsidRDefault="00BB7468" w:rsidP="00BB7468">
      <w:pPr>
        <w:spacing w:after="0" w:line="240" w:lineRule="auto"/>
        <w:rPr>
          <w:szCs w:val="20"/>
          <w:lang w:eastAsia="en-US"/>
        </w:rPr>
      </w:pPr>
      <w:proofErr w:type="spellStart"/>
      <w:r>
        <w:rPr>
          <w:iCs/>
          <w:color w:val="auto"/>
          <w:szCs w:val="20"/>
        </w:rPr>
        <w:t>Bjørge</w:t>
      </w:r>
      <w:proofErr w:type="spellEnd"/>
      <w:r w:rsidRPr="00B26993">
        <w:rPr>
          <w:szCs w:val="20"/>
          <w:lang w:eastAsia="en-US"/>
        </w:rPr>
        <w:t>, A.,</w:t>
      </w:r>
      <w:r>
        <w:rPr>
          <w:szCs w:val="20"/>
          <w:lang w:eastAsia="en-US"/>
        </w:rPr>
        <w:t xml:space="preserve"> </w:t>
      </w:r>
      <w:proofErr w:type="spellStart"/>
      <w:r>
        <w:rPr>
          <w:szCs w:val="20"/>
          <w:lang w:eastAsia="en-US"/>
        </w:rPr>
        <w:t>Øien</w:t>
      </w:r>
      <w:proofErr w:type="spellEnd"/>
      <w:r>
        <w:rPr>
          <w:szCs w:val="20"/>
          <w:lang w:eastAsia="en-US"/>
        </w:rPr>
        <w:t xml:space="preserve">, N., </w:t>
      </w:r>
      <w:proofErr w:type="spellStart"/>
      <w:r>
        <w:rPr>
          <w:szCs w:val="20"/>
          <w:lang w:eastAsia="en-US"/>
        </w:rPr>
        <w:t>Hartved</w:t>
      </w:r>
      <w:proofErr w:type="spellEnd"/>
      <w:r>
        <w:rPr>
          <w:szCs w:val="20"/>
          <w:lang w:eastAsia="en-US"/>
        </w:rPr>
        <w:t xml:space="preserve">, S., </w:t>
      </w:r>
      <w:proofErr w:type="spellStart"/>
      <w:r>
        <w:rPr>
          <w:szCs w:val="20"/>
          <w:lang w:eastAsia="en-US"/>
        </w:rPr>
        <w:t>B</w:t>
      </w:r>
      <w:r>
        <w:rPr>
          <w:iCs/>
          <w:color w:val="auto"/>
          <w:szCs w:val="20"/>
        </w:rPr>
        <w:t>ø</w:t>
      </w:r>
      <w:r>
        <w:rPr>
          <w:szCs w:val="20"/>
          <w:lang w:eastAsia="en-US"/>
        </w:rPr>
        <w:t>thun</w:t>
      </w:r>
      <w:proofErr w:type="spellEnd"/>
      <w:r>
        <w:rPr>
          <w:szCs w:val="20"/>
          <w:lang w:eastAsia="en-US"/>
        </w:rPr>
        <w:t xml:space="preserve">, G. </w:t>
      </w:r>
      <w:proofErr w:type="gramStart"/>
      <w:r>
        <w:rPr>
          <w:szCs w:val="20"/>
          <w:lang w:eastAsia="en-US"/>
        </w:rPr>
        <w:t xml:space="preserve">and  </w:t>
      </w:r>
      <w:proofErr w:type="spellStart"/>
      <w:r>
        <w:rPr>
          <w:szCs w:val="20"/>
          <w:lang w:eastAsia="en-US"/>
        </w:rPr>
        <w:t>Bekkby</w:t>
      </w:r>
      <w:proofErr w:type="spellEnd"/>
      <w:proofErr w:type="gramEnd"/>
      <w:r>
        <w:rPr>
          <w:szCs w:val="20"/>
          <w:lang w:eastAsia="en-US"/>
        </w:rPr>
        <w:t xml:space="preserve">, T. (2002). Dispersal and bycatch mortality in </w:t>
      </w:r>
      <w:proofErr w:type="spellStart"/>
      <w:r>
        <w:rPr>
          <w:szCs w:val="20"/>
          <w:lang w:eastAsia="en-US"/>
        </w:rPr>
        <w:t>gray</w:t>
      </w:r>
      <w:proofErr w:type="spellEnd"/>
      <w:r>
        <w:rPr>
          <w:szCs w:val="20"/>
          <w:lang w:eastAsia="en-US"/>
        </w:rPr>
        <w:t xml:space="preserve">, </w:t>
      </w:r>
      <w:proofErr w:type="spellStart"/>
      <w:r w:rsidRPr="00BB7468">
        <w:rPr>
          <w:i/>
          <w:szCs w:val="20"/>
          <w:lang w:eastAsia="en-US"/>
        </w:rPr>
        <w:t>Halichoerus</w:t>
      </w:r>
      <w:proofErr w:type="spellEnd"/>
      <w:r w:rsidRPr="00BB7468">
        <w:rPr>
          <w:i/>
          <w:szCs w:val="20"/>
          <w:lang w:eastAsia="en-US"/>
        </w:rPr>
        <w:t xml:space="preserve"> </w:t>
      </w:r>
      <w:proofErr w:type="spellStart"/>
      <w:r w:rsidRPr="00BB7468">
        <w:rPr>
          <w:i/>
          <w:szCs w:val="20"/>
          <w:lang w:eastAsia="en-US"/>
        </w:rPr>
        <w:t>grypus</w:t>
      </w:r>
      <w:proofErr w:type="spellEnd"/>
      <w:r>
        <w:rPr>
          <w:szCs w:val="20"/>
          <w:lang w:eastAsia="en-US"/>
        </w:rPr>
        <w:t xml:space="preserve">, and harbour, </w:t>
      </w:r>
      <w:proofErr w:type="spellStart"/>
      <w:r w:rsidRPr="00BB7468">
        <w:rPr>
          <w:i/>
          <w:szCs w:val="20"/>
          <w:lang w:eastAsia="en-US"/>
        </w:rPr>
        <w:t>Phoca</w:t>
      </w:r>
      <w:proofErr w:type="spellEnd"/>
      <w:r w:rsidRPr="00BB7468">
        <w:rPr>
          <w:i/>
          <w:szCs w:val="20"/>
          <w:lang w:eastAsia="en-US"/>
        </w:rPr>
        <w:t xml:space="preserve"> </w:t>
      </w:r>
      <w:proofErr w:type="spellStart"/>
      <w:r w:rsidRPr="00BB7468">
        <w:rPr>
          <w:i/>
          <w:szCs w:val="20"/>
          <w:lang w:eastAsia="en-US"/>
        </w:rPr>
        <w:t>vitulina</w:t>
      </w:r>
      <w:proofErr w:type="spellEnd"/>
      <w:r>
        <w:rPr>
          <w:szCs w:val="20"/>
          <w:lang w:eastAsia="en-US"/>
        </w:rPr>
        <w:t xml:space="preserve">, seals tagged at the Norwegian coast. </w:t>
      </w:r>
      <w:r w:rsidR="006D6F6F">
        <w:rPr>
          <w:szCs w:val="20"/>
          <w:lang w:eastAsia="en-US"/>
        </w:rPr>
        <w:t>Marine Mammal S</w:t>
      </w:r>
      <w:r>
        <w:rPr>
          <w:szCs w:val="20"/>
          <w:lang w:eastAsia="en-US"/>
        </w:rPr>
        <w:t xml:space="preserve">cience </w:t>
      </w:r>
      <w:r w:rsidRPr="006D6F6F">
        <w:rPr>
          <w:b/>
          <w:szCs w:val="20"/>
          <w:lang w:eastAsia="en-US"/>
        </w:rPr>
        <w:t>18</w:t>
      </w:r>
      <w:r>
        <w:rPr>
          <w:szCs w:val="20"/>
          <w:lang w:eastAsia="en-US"/>
        </w:rPr>
        <w:t>, 963-976.</w:t>
      </w:r>
    </w:p>
    <w:p w:rsidR="00BB7468" w:rsidRDefault="00BB7468" w:rsidP="00BB7468">
      <w:pPr>
        <w:spacing w:after="0" w:line="240" w:lineRule="auto"/>
        <w:rPr>
          <w:szCs w:val="20"/>
        </w:rPr>
      </w:pPr>
    </w:p>
    <w:p w:rsidR="00B26993" w:rsidRPr="00B26993" w:rsidRDefault="00B26993" w:rsidP="00B26993">
      <w:pPr>
        <w:autoSpaceDE w:val="0"/>
        <w:autoSpaceDN w:val="0"/>
        <w:adjustRightInd w:val="0"/>
        <w:spacing w:after="0" w:line="240" w:lineRule="auto"/>
        <w:rPr>
          <w:szCs w:val="20"/>
          <w:lang w:eastAsia="en-US"/>
        </w:rPr>
      </w:pPr>
      <w:proofErr w:type="spellStart"/>
      <w:proofErr w:type="gramStart"/>
      <w:r>
        <w:rPr>
          <w:iCs/>
          <w:color w:val="auto"/>
          <w:szCs w:val="20"/>
        </w:rPr>
        <w:t>Bjørge</w:t>
      </w:r>
      <w:proofErr w:type="spellEnd"/>
      <w:r w:rsidRPr="00B26993">
        <w:rPr>
          <w:szCs w:val="20"/>
          <w:lang w:eastAsia="en-US"/>
        </w:rPr>
        <w:t>, A., M</w:t>
      </w:r>
      <w:r>
        <w:rPr>
          <w:szCs w:val="20"/>
          <w:lang w:eastAsia="en-US"/>
        </w:rPr>
        <w:t>oan</w:t>
      </w:r>
      <w:r w:rsidRPr="00B26993">
        <w:rPr>
          <w:szCs w:val="20"/>
          <w:lang w:eastAsia="en-US"/>
        </w:rPr>
        <w:t xml:space="preserve">, A., </w:t>
      </w:r>
      <w:proofErr w:type="spellStart"/>
      <w:r w:rsidRPr="00B26993">
        <w:rPr>
          <w:szCs w:val="20"/>
          <w:lang w:eastAsia="en-US"/>
        </w:rPr>
        <w:t>N</w:t>
      </w:r>
      <w:r>
        <w:rPr>
          <w:szCs w:val="20"/>
          <w:lang w:eastAsia="en-US"/>
        </w:rPr>
        <w:t>ilssen</w:t>
      </w:r>
      <w:proofErr w:type="spellEnd"/>
      <w:r w:rsidRPr="00B26993">
        <w:rPr>
          <w:szCs w:val="20"/>
          <w:lang w:eastAsia="en-US"/>
        </w:rPr>
        <w:t xml:space="preserve">, K.T. and </w:t>
      </w:r>
      <w:proofErr w:type="spellStart"/>
      <w:r w:rsidRPr="00B26993">
        <w:rPr>
          <w:szCs w:val="20"/>
          <w:lang w:eastAsia="en-US"/>
        </w:rPr>
        <w:t>Ø</w:t>
      </w:r>
      <w:r>
        <w:rPr>
          <w:szCs w:val="20"/>
          <w:lang w:eastAsia="en-US"/>
        </w:rPr>
        <w:t>igård</w:t>
      </w:r>
      <w:proofErr w:type="spellEnd"/>
      <w:r w:rsidRPr="00B26993">
        <w:rPr>
          <w:szCs w:val="20"/>
          <w:lang w:eastAsia="en-US"/>
        </w:rPr>
        <w:t>, T.A. (2017).</w:t>
      </w:r>
      <w:proofErr w:type="gramEnd"/>
      <w:r>
        <w:rPr>
          <w:szCs w:val="20"/>
          <w:lang w:eastAsia="en-US"/>
        </w:rPr>
        <w:t xml:space="preserve"> </w:t>
      </w:r>
      <w:r w:rsidRPr="00B26993">
        <w:rPr>
          <w:szCs w:val="20"/>
          <w:lang w:eastAsia="en-US"/>
        </w:rPr>
        <w:t>Bycatch of harbour and grey seals</w:t>
      </w:r>
    </w:p>
    <w:p w:rsidR="00B26993" w:rsidRDefault="00B26993" w:rsidP="00B26993">
      <w:pPr>
        <w:pStyle w:val="Default"/>
        <w:rPr>
          <w:rFonts w:ascii="Times New Roman" w:hAnsi="Times New Roman" w:cs="Times New Roman"/>
        </w:rPr>
      </w:pPr>
      <w:proofErr w:type="gramStart"/>
      <w:r w:rsidRPr="00B26993">
        <w:rPr>
          <w:rFonts w:ascii="Arial" w:hAnsi="Arial" w:cs="Arial"/>
          <w:sz w:val="20"/>
          <w:szCs w:val="20"/>
        </w:rPr>
        <w:t>in</w:t>
      </w:r>
      <w:proofErr w:type="gramEnd"/>
      <w:r w:rsidRPr="00B26993">
        <w:rPr>
          <w:rFonts w:ascii="Arial" w:hAnsi="Arial" w:cs="Arial"/>
          <w:sz w:val="20"/>
          <w:szCs w:val="20"/>
        </w:rPr>
        <w:t xml:space="preserve"> Norway.</w:t>
      </w:r>
      <w:r>
        <w:rPr>
          <w:szCs w:val="20"/>
        </w:rPr>
        <w:t xml:space="preserve"> North Atlantic Marine Mammal Commission </w:t>
      </w:r>
      <w:r w:rsidRPr="00B26993">
        <w:rPr>
          <w:rFonts w:ascii="Times New Roman" w:hAnsi="Times New Roman" w:cs="Times New Roman"/>
        </w:rPr>
        <w:t>SC/24/BYCWG/07 By-catch WG 2-4</w:t>
      </w:r>
      <w:r>
        <w:rPr>
          <w:rFonts w:ascii="Times New Roman" w:hAnsi="Times New Roman" w:cs="Times New Roman"/>
        </w:rPr>
        <w:t>,</w:t>
      </w:r>
      <w:r w:rsidRPr="00B26993">
        <w:rPr>
          <w:rFonts w:ascii="Times New Roman" w:hAnsi="Times New Roman" w:cs="Times New Roman"/>
        </w:rPr>
        <w:t xml:space="preserve"> May 2017</w:t>
      </w:r>
      <w:r>
        <w:rPr>
          <w:rFonts w:ascii="Times New Roman" w:hAnsi="Times New Roman" w:cs="Times New Roman"/>
        </w:rPr>
        <w:t xml:space="preserve">, 15pp. </w:t>
      </w:r>
      <w:hyperlink r:id="rId7" w:history="1">
        <w:r w:rsidRPr="00CC4355">
          <w:rPr>
            <w:rStyle w:val="Hyperlink"/>
            <w:rFonts w:ascii="Times New Roman" w:hAnsi="Times New Roman" w:cs="Times New Roman"/>
          </w:rPr>
          <w:t>https://nammco.no/wp-content/uploads/2017/04/07-bycatch-of-grey-and-harbour-seals-in-norway.pdf</w:t>
        </w:r>
      </w:hyperlink>
    </w:p>
    <w:p w:rsidR="00B26993" w:rsidRPr="00B26993" w:rsidRDefault="00B26993" w:rsidP="00273230">
      <w:pPr>
        <w:spacing w:after="0" w:line="240" w:lineRule="auto"/>
        <w:rPr>
          <w:szCs w:val="20"/>
        </w:rPr>
      </w:pPr>
    </w:p>
    <w:p w:rsidR="00BB7468" w:rsidRDefault="00BB7468" w:rsidP="00BB7468">
      <w:pPr>
        <w:spacing w:after="0" w:line="240" w:lineRule="auto"/>
      </w:pPr>
      <w:r>
        <w:t xml:space="preserve">Moan, A, G. (2016). Bycatch of harbour porpoise, harbour seal and grey seal in Norwegian gillnet fisheries. </w:t>
      </w:r>
      <w:proofErr w:type="gramStart"/>
      <w:r>
        <w:t>Master thesis, University of Oslo, 73pp.</w:t>
      </w:r>
      <w:proofErr w:type="gramEnd"/>
    </w:p>
    <w:p w:rsidR="00BB7468" w:rsidRDefault="00BB7468" w:rsidP="00BB7468">
      <w:pPr>
        <w:spacing w:after="0" w:line="240" w:lineRule="auto"/>
      </w:pPr>
    </w:p>
    <w:p w:rsidR="00BB7468" w:rsidRPr="00B26993" w:rsidRDefault="00BB7468" w:rsidP="00BB7468">
      <w:pPr>
        <w:autoSpaceDE w:val="0"/>
        <w:autoSpaceDN w:val="0"/>
        <w:adjustRightInd w:val="0"/>
        <w:spacing w:after="0" w:line="240" w:lineRule="auto"/>
        <w:rPr>
          <w:szCs w:val="20"/>
          <w:lang w:eastAsia="en-US"/>
        </w:rPr>
      </w:pPr>
    </w:p>
    <w:sectPr w:rsidR="00BB7468" w:rsidRPr="00B26993" w:rsidSect="0084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70"/>
    <w:rsid w:val="0000263F"/>
    <w:rsid w:val="00004ED8"/>
    <w:rsid w:val="0007425A"/>
    <w:rsid w:val="000F43F9"/>
    <w:rsid w:val="00150870"/>
    <w:rsid w:val="001C0E69"/>
    <w:rsid w:val="0021228D"/>
    <w:rsid w:val="0026743B"/>
    <w:rsid w:val="00273230"/>
    <w:rsid w:val="003247B4"/>
    <w:rsid w:val="00337A83"/>
    <w:rsid w:val="0036072F"/>
    <w:rsid w:val="00381234"/>
    <w:rsid w:val="0038796B"/>
    <w:rsid w:val="003C758A"/>
    <w:rsid w:val="003E6F22"/>
    <w:rsid w:val="00517E21"/>
    <w:rsid w:val="005865DE"/>
    <w:rsid w:val="005D4BFC"/>
    <w:rsid w:val="006D6F6F"/>
    <w:rsid w:val="007C419C"/>
    <w:rsid w:val="00847FE7"/>
    <w:rsid w:val="00907F18"/>
    <w:rsid w:val="009303BC"/>
    <w:rsid w:val="00A22D6E"/>
    <w:rsid w:val="00A7676B"/>
    <w:rsid w:val="00B26993"/>
    <w:rsid w:val="00BB7468"/>
    <w:rsid w:val="00BE5018"/>
    <w:rsid w:val="00C031F5"/>
    <w:rsid w:val="00C15F5E"/>
    <w:rsid w:val="00C64684"/>
    <w:rsid w:val="00C83CFC"/>
    <w:rsid w:val="00C97C2F"/>
    <w:rsid w:val="00D04CFA"/>
    <w:rsid w:val="00E5490C"/>
    <w:rsid w:val="00F633A9"/>
    <w:rsid w:val="00F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NewRomanPSMT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08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8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2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993"/>
    <w:rPr>
      <w:rFonts w:ascii="Tahoma" w:hAnsi="Tahoma" w:cs="Tahoma"/>
      <w:color w:val="000000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NewRomanPSMT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08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8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2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993"/>
    <w:rPr>
      <w:rFonts w:ascii="Tahoma" w:hAnsi="Tahoma" w:cs="Tahoma"/>
      <w:color w:val="000000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mco.no/wp-content/uploads/2017/04/07-bycatch-of-grey-and-harbour-seals-in-norway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Heath</dc:creator>
  <cp:lastModifiedBy>Michael Heath</cp:lastModifiedBy>
  <cp:revision>9</cp:revision>
  <dcterms:created xsi:type="dcterms:W3CDTF">2021-02-25T15:03:00Z</dcterms:created>
  <dcterms:modified xsi:type="dcterms:W3CDTF">2021-03-13T22:46:00Z</dcterms:modified>
</cp:coreProperties>
</file>