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870" w:rsidRDefault="00150870" w:rsidP="00150870">
      <w:pPr>
        <w:spacing w:after="0" w:line="240" w:lineRule="auto"/>
        <w:rPr>
          <w:sz w:val="28"/>
          <w:szCs w:val="28"/>
        </w:rPr>
      </w:pPr>
      <w:proofErr w:type="gramStart"/>
      <w:r>
        <w:rPr>
          <w:sz w:val="28"/>
          <w:szCs w:val="28"/>
        </w:rPr>
        <w:t>Seabird</w:t>
      </w:r>
      <w:r w:rsidRPr="005106E2">
        <w:rPr>
          <w:sz w:val="28"/>
          <w:szCs w:val="28"/>
        </w:rPr>
        <w:t xml:space="preserve"> bycatch in </w:t>
      </w:r>
      <w:r>
        <w:rPr>
          <w:sz w:val="28"/>
          <w:szCs w:val="28"/>
        </w:rPr>
        <w:t>the Barents Sea</w:t>
      </w:r>
      <w:r w:rsidRPr="005106E2">
        <w:rPr>
          <w:sz w:val="28"/>
          <w:szCs w:val="28"/>
        </w:rPr>
        <w:t>.</w:t>
      </w:r>
      <w:proofErr w:type="gramEnd"/>
    </w:p>
    <w:p w:rsidR="00150870" w:rsidRDefault="00150870" w:rsidP="00150870">
      <w:pPr>
        <w:spacing w:after="0" w:line="240" w:lineRule="auto"/>
        <w:rPr>
          <w:sz w:val="28"/>
          <w:szCs w:val="28"/>
        </w:rPr>
      </w:pPr>
    </w:p>
    <w:p w:rsidR="00150870" w:rsidRDefault="005865DE" w:rsidP="00D04CFA">
      <w:pPr>
        <w:pStyle w:val="Default"/>
        <w:rPr>
          <w:rFonts w:ascii="Arial" w:hAnsi="Arial" w:cs="Arial"/>
          <w:sz w:val="20"/>
          <w:szCs w:val="20"/>
        </w:rPr>
      </w:pPr>
      <w:r w:rsidRPr="005865DE">
        <w:rPr>
          <w:rFonts w:ascii="Arial" w:hAnsi="Arial" w:cs="Arial"/>
          <w:color w:val="auto"/>
          <w:sz w:val="20"/>
          <w:szCs w:val="20"/>
        </w:rPr>
        <w:t xml:space="preserve">The </w:t>
      </w:r>
      <w:r w:rsidRPr="005865DE">
        <w:rPr>
          <w:rFonts w:ascii="Arial" w:hAnsi="Arial" w:cs="Arial"/>
          <w:iCs/>
          <w:color w:val="auto"/>
          <w:sz w:val="20"/>
          <w:szCs w:val="20"/>
        </w:rPr>
        <w:t>ICES Fisheries Overview of the</w:t>
      </w:r>
      <w:r w:rsidR="00150870" w:rsidRPr="005865DE">
        <w:rPr>
          <w:rFonts w:ascii="Arial" w:hAnsi="Arial" w:cs="Arial"/>
          <w:iCs/>
          <w:color w:val="auto"/>
          <w:sz w:val="20"/>
          <w:szCs w:val="20"/>
        </w:rPr>
        <w:t xml:space="preserve"> Barents Sea Ecoregion </w:t>
      </w:r>
      <w:r w:rsidRPr="005865DE">
        <w:rPr>
          <w:rFonts w:ascii="Arial" w:hAnsi="Arial" w:cs="Arial"/>
          <w:iCs/>
          <w:color w:val="auto"/>
          <w:sz w:val="20"/>
          <w:szCs w:val="20"/>
        </w:rPr>
        <w:t>(ICES 2019)</w:t>
      </w:r>
      <w:r w:rsidR="00D04CFA">
        <w:rPr>
          <w:rFonts w:ascii="Arial" w:hAnsi="Arial" w:cs="Arial"/>
          <w:iCs/>
          <w:color w:val="auto"/>
          <w:sz w:val="20"/>
          <w:szCs w:val="20"/>
        </w:rPr>
        <w:t xml:space="preserve"> </w:t>
      </w:r>
      <w:r w:rsidR="005D4BFC">
        <w:rPr>
          <w:rFonts w:ascii="Arial" w:hAnsi="Arial" w:cs="Arial"/>
          <w:iCs/>
          <w:color w:val="auto"/>
          <w:sz w:val="20"/>
          <w:szCs w:val="20"/>
        </w:rPr>
        <w:t>provides little advice on</w:t>
      </w:r>
      <w:r>
        <w:rPr>
          <w:rFonts w:ascii="Arial" w:hAnsi="Arial" w:cs="Arial"/>
          <w:iCs/>
          <w:color w:val="auto"/>
          <w:sz w:val="20"/>
          <w:szCs w:val="20"/>
        </w:rPr>
        <w:t xml:space="preserve"> seabird bycatch rates in the region</w:t>
      </w:r>
      <w:r w:rsidR="00D04CFA">
        <w:rPr>
          <w:rFonts w:ascii="Arial" w:hAnsi="Arial" w:cs="Arial"/>
          <w:iCs/>
          <w:color w:val="auto"/>
          <w:sz w:val="20"/>
          <w:szCs w:val="20"/>
        </w:rPr>
        <w:t>. The report states</w:t>
      </w:r>
      <w:r>
        <w:rPr>
          <w:rFonts w:ascii="Arial" w:hAnsi="Arial" w:cs="Arial"/>
          <w:iCs/>
          <w:color w:val="auto"/>
          <w:sz w:val="20"/>
          <w:szCs w:val="20"/>
        </w:rPr>
        <w:t xml:space="preserve"> that although “g</w:t>
      </w:r>
      <w:r w:rsidRPr="005865DE">
        <w:rPr>
          <w:rFonts w:ascii="Arial" w:hAnsi="Arial" w:cs="Arial"/>
          <w:sz w:val="20"/>
          <w:szCs w:val="20"/>
        </w:rPr>
        <w:t>illnet fishing primarily affects coastal and pelagic diving seabirds, while the surface-feeding species will be mo</w:t>
      </w:r>
      <w:r>
        <w:rPr>
          <w:rFonts w:ascii="Arial" w:hAnsi="Arial" w:cs="Arial"/>
          <w:sz w:val="20"/>
          <w:szCs w:val="20"/>
        </w:rPr>
        <w:t>st affected by longline fishing”</w:t>
      </w:r>
      <w:proofErr w:type="gramStart"/>
      <w:r>
        <w:rPr>
          <w:rFonts w:ascii="Arial" w:hAnsi="Arial" w:cs="Arial"/>
          <w:sz w:val="20"/>
          <w:szCs w:val="20"/>
        </w:rPr>
        <w:t>,</w:t>
      </w:r>
      <w:proofErr w:type="gramEnd"/>
      <w:r>
        <w:rPr>
          <w:rFonts w:ascii="Arial" w:hAnsi="Arial" w:cs="Arial"/>
          <w:sz w:val="20"/>
          <w:szCs w:val="20"/>
        </w:rPr>
        <w:t xml:space="preserve"> documentation of the scale of bycatch is incomplete</w:t>
      </w:r>
      <w:r w:rsidR="005D4BFC">
        <w:rPr>
          <w:rFonts w:ascii="Arial" w:hAnsi="Arial" w:cs="Arial"/>
          <w:sz w:val="20"/>
          <w:szCs w:val="20"/>
        </w:rPr>
        <w:t>”</w:t>
      </w:r>
      <w:r>
        <w:rPr>
          <w:rFonts w:ascii="Arial" w:hAnsi="Arial" w:cs="Arial"/>
          <w:sz w:val="20"/>
          <w:szCs w:val="20"/>
        </w:rPr>
        <w:t>. The overview cites one publication on the issue (</w:t>
      </w:r>
      <w:proofErr w:type="spellStart"/>
      <w:r>
        <w:rPr>
          <w:rFonts w:ascii="Arial" w:hAnsi="Arial" w:cs="Arial"/>
          <w:sz w:val="20"/>
          <w:szCs w:val="20"/>
        </w:rPr>
        <w:t>Fangel</w:t>
      </w:r>
      <w:proofErr w:type="spellEnd"/>
      <w:r>
        <w:rPr>
          <w:rFonts w:ascii="Arial" w:hAnsi="Arial" w:cs="Arial"/>
          <w:sz w:val="20"/>
          <w:szCs w:val="20"/>
        </w:rPr>
        <w:t xml:space="preserve"> et al 2011)</w:t>
      </w:r>
      <w:r w:rsidR="00D04CFA">
        <w:rPr>
          <w:rFonts w:ascii="Arial" w:hAnsi="Arial" w:cs="Arial"/>
          <w:sz w:val="20"/>
          <w:szCs w:val="20"/>
        </w:rPr>
        <w:t xml:space="preserve">. </w:t>
      </w:r>
      <w:r w:rsidR="00150870" w:rsidRPr="005865DE">
        <w:rPr>
          <w:rFonts w:ascii="Arial" w:hAnsi="Arial" w:cs="Arial"/>
          <w:sz w:val="20"/>
          <w:szCs w:val="20"/>
        </w:rPr>
        <w:t>However, there are some more recent publications which have advanced knowledge of seabird bycatch</w:t>
      </w:r>
      <w:r w:rsidR="00D04CFA">
        <w:rPr>
          <w:rFonts w:ascii="Arial" w:hAnsi="Arial" w:cs="Arial"/>
          <w:sz w:val="20"/>
          <w:szCs w:val="20"/>
        </w:rPr>
        <w:t>.</w:t>
      </w:r>
    </w:p>
    <w:p w:rsidR="00D04CFA" w:rsidRPr="005865DE" w:rsidRDefault="00D04CFA" w:rsidP="00D04CFA">
      <w:pPr>
        <w:pStyle w:val="Default"/>
        <w:rPr>
          <w:rFonts w:ascii="Arial" w:hAnsi="Arial" w:cs="Arial"/>
          <w:sz w:val="20"/>
          <w:szCs w:val="20"/>
        </w:rPr>
      </w:pPr>
    </w:p>
    <w:p w:rsidR="00150870" w:rsidRPr="005865DE" w:rsidRDefault="00150870" w:rsidP="00150870">
      <w:pPr>
        <w:autoSpaceDE w:val="0"/>
        <w:autoSpaceDN w:val="0"/>
        <w:adjustRightInd w:val="0"/>
        <w:spacing w:after="0" w:line="240" w:lineRule="auto"/>
        <w:rPr>
          <w:color w:val="auto"/>
          <w:szCs w:val="20"/>
          <w:lang w:eastAsia="en-US"/>
        </w:rPr>
      </w:pPr>
      <w:proofErr w:type="spellStart"/>
      <w:r w:rsidRPr="005865DE">
        <w:rPr>
          <w:szCs w:val="20"/>
        </w:rPr>
        <w:t>Fangel</w:t>
      </w:r>
      <w:proofErr w:type="spellEnd"/>
      <w:r w:rsidRPr="005865DE">
        <w:rPr>
          <w:szCs w:val="20"/>
        </w:rPr>
        <w:t xml:space="preserve"> et al. 2011 was a preliminary report on numbers of birds captured in coastal gillnet fisheries for cod and </w:t>
      </w:r>
      <w:proofErr w:type="spellStart"/>
      <w:r w:rsidRPr="005865DE">
        <w:rPr>
          <w:szCs w:val="20"/>
        </w:rPr>
        <w:t>and</w:t>
      </w:r>
      <w:proofErr w:type="spellEnd"/>
      <w:r w:rsidRPr="005865DE">
        <w:rPr>
          <w:szCs w:val="20"/>
        </w:rPr>
        <w:t xml:space="preserve"> </w:t>
      </w:r>
      <w:proofErr w:type="spellStart"/>
      <w:r w:rsidRPr="005865DE">
        <w:rPr>
          <w:szCs w:val="20"/>
        </w:rPr>
        <w:t>lumpsucker</w:t>
      </w:r>
      <w:proofErr w:type="spellEnd"/>
      <w:r w:rsidRPr="005865DE">
        <w:rPr>
          <w:szCs w:val="20"/>
        </w:rPr>
        <w:t xml:space="preserve"> </w:t>
      </w:r>
      <w:r w:rsidRPr="005865DE">
        <w:rPr>
          <w:color w:val="auto"/>
          <w:szCs w:val="20"/>
          <w:lang w:eastAsia="en-US"/>
        </w:rPr>
        <w:t>off northern Norway (</w:t>
      </w:r>
      <w:r w:rsidR="005D4BFC">
        <w:rPr>
          <w:color w:val="auto"/>
          <w:szCs w:val="20"/>
          <w:lang w:eastAsia="en-US"/>
        </w:rPr>
        <w:t xml:space="preserve">northern </w:t>
      </w:r>
      <w:proofErr w:type="spellStart"/>
      <w:r w:rsidR="005D4BFC">
        <w:rPr>
          <w:color w:val="auto"/>
          <w:szCs w:val="20"/>
          <w:lang w:eastAsia="en-US"/>
        </w:rPr>
        <w:t>Nordland</w:t>
      </w:r>
      <w:proofErr w:type="spellEnd"/>
      <w:r w:rsidR="005D4BFC">
        <w:rPr>
          <w:color w:val="auto"/>
          <w:szCs w:val="20"/>
          <w:lang w:eastAsia="en-US"/>
        </w:rPr>
        <w:t xml:space="preserve">, </w:t>
      </w:r>
      <w:r w:rsidRPr="005865DE">
        <w:rPr>
          <w:color w:val="auto"/>
          <w:szCs w:val="20"/>
          <w:lang w:eastAsia="en-US"/>
        </w:rPr>
        <w:t xml:space="preserve">Troms and </w:t>
      </w:r>
      <w:proofErr w:type="spellStart"/>
      <w:r w:rsidRPr="005865DE">
        <w:rPr>
          <w:color w:val="auto"/>
          <w:szCs w:val="20"/>
          <w:lang w:eastAsia="en-US"/>
        </w:rPr>
        <w:t>Finnmark</w:t>
      </w:r>
      <w:proofErr w:type="spellEnd"/>
      <w:r w:rsidRPr="005865DE">
        <w:rPr>
          <w:color w:val="auto"/>
          <w:szCs w:val="20"/>
          <w:lang w:eastAsia="en-US"/>
        </w:rPr>
        <w:t xml:space="preserve"> regions), and in the Greenland halibut longline fishery in the same area. The results were presented in terms of bycatch per unit catch weight of the target species in these fisheries (Table 1).</w:t>
      </w:r>
    </w:p>
    <w:p w:rsidR="00150870" w:rsidRPr="005865DE" w:rsidRDefault="00150870" w:rsidP="00150870">
      <w:pPr>
        <w:autoSpaceDE w:val="0"/>
        <w:autoSpaceDN w:val="0"/>
        <w:adjustRightInd w:val="0"/>
        <w:spacing w:after="0" w:line="240" w:lineRule="auto"/>
        <w:rPr>
          <w:color w:val="auto"/>
          <w:szCs w:val="20"/>
          <w:lang w:eastAsia="en-US"/>
        </w:rPr>
      </w:pPr>
    </w:p>
    <w:p w:rsidR="00150870" w:rsidRDefault="00150870" w:rsidP="00150870">
      <w:pPr>
        <w:autoSpaceDE w:val="0"/>
        <w:autoSpaceDN w:val="0"/>
        <w:adjustRightInd w:val="0"/>
        <w:spacing w:after="0" w:line="240" w:lineRule="auto"/>
        <w:rPr>
          <w:color w:val="auto"/>
          <w:szCs w:val="20"/>
          <w:lang w:eastAsia="en-US"/>
        </w:rPr>
      </w:pPr>
      <w:r w:rsidRPr="005865DE">
        <w:rPr>
          <w:color w:val="auto"/>
          <w:szCs w:val="20"/>
          <w:lang w:eastAsia="en-US"/>
        </w:rPr>
        <w:t xml:space="preserve">Subsequent work and more extensive sampling by the same </w:t>
      </w:r>
      <w:r w:rsidR="009303BC" w:rsidRPr="005865DE">
        <w:rPr>
          <w:color w:val="auto"/>
          <w:szCs w:val="20"/>
          <w:lang w:eastAsia="en-US"/>
        </w:rPr>
        <w:t xml:space="preserve">and </w:t>
      </w:r>
      <w:r w:rsidR="00D04CFA">
        <w:rPr>
          <w:color w:val="auto"/>
          <w:szCs w:val="20"/>
          <w:lang w:eastAsia="en-US"/>
        </w:rPr>
        <w:t>additional</w:t>
      </w:r>
      <w:r w:rsidR="009303BC" w:rsidRPr="005865DE">
        <w:rPr>
          <w:color w:val="auto"/>
          <w:szCs w:val="20"/>
          <w:lang w:eastAsia="en-US"/>
        </w:rPr>
        <w:t xml:space="preserve"> </w:t>
      </w:r>
      <w:r w:rsidRPr="005865DE">
        <w:rPr>
          <w:color w:val="auto"/>
          <w:szCs w:val="20"/>
          <w:lang w:eastAsia="en-US"/>
        </w:rPr>
        <w:t>authors (</w:t>
      </w:r>
      <w:proofErr w:type="spellStart"/>
      <w:r w:rsidRPr="005865DE">
        <w:rPr>
          <w:color w:val="auto"/>
          <w:szCs w:val="20"/>
          <w:lang w:eastAsia="en-US"/>
        </w:rPr>
        <w:t>Fangel</w:t>
      </w:r>
      <w:proofErr w:type="spellEnd"/>
      <w:r w:rsidRPr="005865DE">
        <w:rPr>
          <w:color w:val="auto"/>
          <w:szCs w:val="20"/>
          <w:lang w:eastAsia="en-US"/>
        </w:rPr>
        <w:t xml:space="preserve"> et al. 2015, 2017; </w:t>
      </w:r>
      <w:proofErr w:type="spellStart"/>
      <w:r w:rsidRPr="005865DE">
        <w:rPr>
          <w:color w:val="auto"/>
          <w:szCs w:val="20"/>
          <w:lang w:eastAsia="en-US"/>
        </w:rPr>
        <w:t>Bærum</w:t>
      </w:r>
      <w:proofErr w:type="spellEnd"/>
      <w:r w:rsidRPr="005865DE">
        <w:rPr>
          <w:color w:val="auto"/>
          <w:szCs w:val="20"/>
          <w:lang w:eastAsia="en-US"/>
        </w:rPr>
        <w:t xml:space="preserve"> et al. 2019)</w:t>
      </w:r>
      <w:r w:rsidR="009303BC" w:rsidRPr="005865DE">
        <w:rPr>
          <w:color w:val="auto"/>
          <w:szCs w:val="20"/>
          <w:lang w:eastAsia="en-US"/>
        </w:rPr>
        <w:t xml:space="preserve"> have greatly extended the observational database and understanding. Primarily, there is no evidence for a correlation between seabird bycatch and the catch rate of target fishery species. Hence, all subsequent data are presented in terms of bycatch per trip, or per net for gillnet fisheries, or per 1000 hooks in longline fisheries (Table 1).</w:t>
      </w:r>
    </w:p>
    <w:p w:rsidR="00D04CFA" w:rsidRDefault="00D04CFA" w:rsidP="00150870">
      <w:pPr>
        <w:autoSpaceDE w:val="0"/>
        <w:autoSpaceDN w:val="0"/>
        <w:adjustRightInd w:val="0"/>
        <w:spacing w:after="0" w:line="240" w:lineRule="auto"/>
        <w:rPr>
          <w:color w:val="auto"/>
          <w:szCs w:val="20"/>
          <w:lang w:eastAsia="en-US"/>
        </w:rPr>
      </w:pPr>
    </w:p>
    <w:p w:rsidR="00D04CFA" w:rsidRDefault="00D04CFA" w:rsidP="00150870">
      <w:pPr>
        <w:autoSpaceDE w:val="0"/>
        <w:autoSpaceDN w:val="0"/>
        <w:adjustRightInd w:val="0"/>
        <w:spacing w:after="0" w:line="240" w:lineRule="auto"/>
        <w:rPr>
          <w:color w:val="auto"/>
          <w:szCs w:val="20"/>
          <w:lang w:eastAsia="en-US"/>
        </w:rPr>
      </w:pPr>
      <w:r>
        <w:rPr>
          <w:color w:val="auto"/>
          <w:szCs w:val="20"/>
          <w:lang w:eastAsia="en-US"/>
        </w:rPr>
        <w:t xml:space="preserve">In all studies, the primary species caught in </w:t>
      </w:r>
      <w:proofErr w:type="gramStart"/>
      <w:r>
        <w:rPr>
          <w:color w:val="auto"/>
          <w:szCs w:val="20"/>
          <w:lang w:eastAsia="en-US"/>
        </w:rPr>
        <w:t>the gillnet</w:t>
      </w:r>
      <w:proofErr w:type="gramEnd"/>
      <w:r>
        <w:rPr>
          <w:color w:val="auto"/>
          <w:szCs w:val="20"/>
          <w:lang w:eastAsia="en-US"/>
        </w:rPr>
        <w:t xml:space="preserve"> and longline fisheries have been Norther</w:t>
      </w:r>
      <w:r w:rsidR="0021228D">
        <w:rPr>
          <w:color w:val="auto"/>
          <w:szCs w:val="20"/>
          <w:lang w:eastAsia="en-US"/>
        </w:rPr>
        <w:t xml:space="preserve">n fulmar and Common guillemot, </w:t>
      </w:r>
      <w:r>
        <w:rPr>
          <w:color w:val="auto"/>
          <w:szCs w:val="20"/>
          <w:lang w:eastAsia="en-US"/>
        </w:rPr>
        <w:t xml:space="preserve">but other species include </w:t>
      </w:r>
      <w:r w:rsidRPr="00D04CFA">
        <w:rPr>
          <w:color w:val="auto"/>
          <w:szCs w:val="20"/>
          <w:lang w:eastAsia="en-US"/>
        </w:rPr>
        <w:t>cormorants, black guillemots, Atlantic puffins and razorbills</w:t>
      </w:r>
      <w:r>
        <w:rPr>
          <w:color w:val="auto"/>
          <w:szCs w:val="20"/>
          <w:lang w:eastAsia="en-US"/>
        </w:rPr>
        <w:t>.</w:t>
      </w:r>
    </w:p>
    <w:p w:rsidR="00D04CFA" w:rsidRDefault="00D04CFA" w:rsidP="00150870">
      <w:pPr>
        <w:autoSpaceDE w:val="0"/>
        <w:autoSpaceDN w:val="0"/>
        <w:adjustRightInd w:val="0"/>
        <w:spacing w:after="0" w:line="240" w:lineRule="auto"/>
        <w:rPr>
          <w:color w:val="auto"/>
          <w:szCs w:val="20"/>
          <w:lang w:eastAsia="en-US"/>
        </w:rPr>
      </w:pPr>
    </w:p>
    <w:p w:rsidR="00D04CFA" w:rsidRDefault="00D04CFA" w:rsidP="00273230">
      <w:pPr>
        <w:autoSpaceDE w:val="0"/>
        <w:autoSpaceDN w:val="0"/>
        <w:adjustRightInd w:val="0"/>
        <w:spacing w:after="0" w:line="240" w:lineRule="auto"/>
        <w:rPr>
          <w:color w:val="auto"/>
          <w:szCs w:val="20"/>
          <w:lang w:eastAsia="en-US"/>
        </w:rPr>
      </w:pPr>
      <w:r>
        <w:rPr>
          <w:color w:val="auto"/>
          <w:szCs w:val="20"/>
          <w:lang w:eastAsia="en-US"/>
        </w:rPr>
        <w:t>Not all studies have provided fleet annual bycatch estimates, based o</w:t>
      </w:r>
      <w:r w:rsidR="005D4BFC">
        <w:rPr>
          <w:color w:val="auto"/>
          <w:szCs w:val="20"/>
          <w:lang w:eastAsia="en-US"/>
        </w:rPr>
        <w:t>n extrapolating from the sampled</w:t>
      </w:r>
      <w:r>
        <w:rPr>
          <w:color w:val="auto"/>
          <w:szCs w:val="20"/>
          <w:lang w:eastAsia="en-US"/>
        </w:rPr>
        <w:t xml:space="preserve"> subset of </w:t>
      </w:r>
      <w:r w:rsidR="005D4BFC">
        <w:rPr>
          <w:color w:val="auto"/>
          <w:szCs w:val="20"/>
          <w:lang w:eastAsia="en-US"/>
        </w:rPr>
        <w:t>vessels</w:t>
      </w:r>
      <w:r>
        <w:rPr>
          <w:color w:val="auto"/>
          <w:szCs w:val="20"/>
          <w:lang w:eastAsia="en-US"/>
        </w:rPr>
        <w:t xml:space="preserve"> to the whole fleet, or at least not at a spatial granularity which allows us to extract values for the Barents Sea coast.</w:t>
      </w:r>
      <w:r w:rsidR="0021228D">
        <w:rPr>
          <w:color w:val="auto"/>
          <w:szCs w:val="20"/>
          <w:lang w:eastAsia="en-US"/>
        </w:rPr>
        <w:t xml:space="preserve"> </w:t>
      </w:r>
      <w:r>
        <w:rPr>
          <w:color w:val="auto"/>
          <w:szCs w:val="20"/>
          <w:lang w:eastAsia="en-US"/>
        </w:rPr>
        <w:t xml:space="preserve">Data identifiers 6, 7, 8 and 9 in Table 1 provide robust estimate of </w:t>
      </w:r>
      <w:r w:rsidR="0038796B">
        <w:rPr>
          <w:color w:val="auto"/>
          <w:szCs w:val="20"/>
          <w:lang w:eastAsia="en-US"/>
        </w:rPr>
        <w:t xml:space="preserve">fleet annual bycatch in the </w:t>
      </w:r>
      <w:proofErr w:type="spellStart"/>
      <w:r w:rsidR="005D4BFC">
        <w:rPr>
          <w:color w:val="auto"/>
          <w:szCs w:val="20"/>
          <w:lang w:eastAsia="en-US"/>
        </w:rPr>
        <w:t>Nordland</w:t>
      </w:r>
      <w:proofErr w:type="spellEnd"/>
      <w:r w:rsidR="005D4BFC">
        <w:rPr>
          <w:color w:val="auto"/>
          <w:szCs w:val="20"/>
          <w:lang w:eastAsia="en-US"/>
        </w:rPr>
        <w:t>/Troms/</w:t>
      </w:r>
      <w:proofErr w:type="spellStart"/>
      <w:r w:rsidR="0038796B">
        <w:rPr>
          <w:color w:val="auto"/>
          <w:szCs w:val="20"/>
          <w:lang w:eastAsia="en-US"/>
        </w:rPr>
        <w:t>Finm</w:t>
      </w:r>
      <w:r>
        <w:rPr>
          <w:color w:val="auto"/>
          <w:szCs w:val="20"/>
          <w:lang w:eastAsia="en-US"/>
        </w:rPr>
        <w:t>ark</w:t>
      </w:r>
      <w:proofErr w:type="spellEnd"/>
      <w:r w:rsidR="005D4BFC">
        <w:rPr>
          <w:color w:val="auto"/>
          <w:szCs w:val="20"/>
          <w:lang w:eastAsia="en-US"/>
        </w:rPr>
        <w:t xml:space="preserve"> region (statistical areas 2, 4 and 5)</w:t>
      </w:r>
      <w:r>
        <w:rPr>
          <w:color w:val="auto"/>
          <w:szCs w:val="20"/>
          <w:lang w:eastAsia="en-US"/>
        </w:rPr>
        <w:t xml:space="preserve"> or 4 distinct fisheries</w:t>
      </w:r>
      <w:r w:rsidR="0038796B">
        <w:rPr>
          <w:color w:val="auto"/>
          <w:szCs w:val="20"/>
          <w:lang w:eastAsia="en-US"/>
        </w:rPr>
        <w:t xml:space="preserve"> (Table 2).</w:t>
      </w:r>
    </w:p>
    <w:p w:rsidR="00D04CFA" w:rsidRDefault="00D04CFA" w:rsidP="00273230">
      <w:pPr>
        <w:autoSpaceDE w:val="0"/>
        <w:autoSpaceDN w:val="0"/>
        <w:adjustRightInd w:val="0"/>
        <w:spacing w:after="0" w:line="240" w:lineRule="auto"/>
        <w:rPr>
          <w:color w:val="auto"/>
          <w:szCs w:val="20"/>
          <w:lang w:eastAsia="en-US"/>
        </w:rPr>
      </w:pPr>
    </w:p>
    <w:p w:rsidR="00150870" w:rsidRDefault="00A22D6E" w:rsidP="00273230">
      <w:pPr>
        <w:spacing w:after="0" w:line="240" w:lineRule="auto"/>
        <w:rPr>
          <w:szCs w:val="20"/>
        </w:rPr>
      </w:pPr>
      <w:r>
        <w:rPr>
          <w:szCs w:val="20"/>
        </w:rPr>
        <w:t xml:space="preserve">Raw data provided by </w:t>
      </w:r>
      <w:proofErr w:type="spellStart"/>
      <w:r w:rsidRPr="005865DE">
        <w:rPr>
          <w:szCs w:val="20"/>
        </w:rPr>
        <w:t>Bærum</w:t>
      </w:r>
      <w:proofErr w:type="spellEnd"/>
      <w:r>
        <w:rPr>
          <w:szCs w:val="20"/>
        </w:rPr>
        <w:t xml:space="preserve"> et al. (2019) show that the majority of sampling by the available studies has been from vessels operating within 35km of the coast, i.e. within the inshore zone of the StrathE2E model. We have been unable to find any significant sampling for offshore areas. Hence we extrapolated the bycatch quantities </w:t>
      </w:r>
      <w:r w:rsidR="005D4BFC">
        <w:rPr>
          <w:szCs w:val="20"/>
        </w:rPr>
        <w:t xml:space="preserve">by Norwegian vessels in statistical areas 3, 4 and 5 </w:t>
      </w:r>
      <w:r>
        <w:rPr>
          <w:szCs w:val="20"/>
        </w:rPr>
        <w:t xml:space="preserve">to </w:t>
      </w:r>
      <w:r w:rsidR="005D4BFC">
        <w:rPr>
          <w:szCs w:val="20"/>
        </w:rPr>
        <w:t xml:space="preserve">the international fleets of equivalent gears operating in our Barents Sea model domain, </w:t>
      </w:r>
      <w:r w:rsidR="00C15F5E">
        <w:rPr>
          <w:szCs w:val="20"/>
        </w:rPr>
        <w:t>assuming a uniform catch r</w:t>
      </w:r>
      <w:r w:rsidR="0038796B">
        <w:rPr>
          <w:szCs w:val="20"/>
        </w:rPr>
        <w:t>ate per unit time spent fishing (Table 3).</w:t>
      </w:r>
    </w:p>
    <w:p w:rsidR="00907F18" w:rsidRPr="005865DE" w:rsidRDefault="00907F18" w:rsidP="00273230">
      <w:pPr>
        <w:spacing w:after="0" w:line="240" w:lineRule="auto"/>
        <w:rPr>
          <w:szCs w:val="20"/>
        </w:rPr>
      </w:pPr>
    </w:p>
    <w:p w:rsidR="00907F18" w:rsidRPr="005865DE" w:rsidRDefault="00C031F5" w:rsidP="00273230">
      <w:pPr>
        <w:spacing w:after="0" w:line="240" w:lineRule="auto"/>
        <w:rPr>
          <w:szCs w:val="20"/>
        </w:rPr>
      </w:pPr>
      <w:r w:rsidRPr="005865DE">
        <w:rPr>
          <w:szCs w:val="20"/>
        </w:rPr>
        <w:t>References</w:t>
      </w:r>
    </w:p>
    <w:p w:rsidR="0021228D" w:rsidRDefault="0021228D" w:rsidP="00273230">
      <w:pPr>
        <w:spacing w:after="0" w:line="240" w:lineRule="auto"/>
        <w:rPr>
          <w:szCs w:val="20"/>
        </w:rPr>
      </w:pPr>
    </w:p>
    <w:p w:rsidR="00C031F5" w:rsidRPr="005865DE" w:rsidRDefault="00C031F5" w:rsidP="00273230">
      <w:pPr>
        <w:spacing w:after="0" w:line="240" w:lineRule="auto"/>
        <w:rPr>
          <w:szCs w:val="20"/>
        </w:rPr>
      </w:pPr>
      <w:proofErr w:type="spellStart"/>
      <w:r w:rsidRPr="005865DE">
        <w:rPr>
          <w:szCs w:val="20"/>
        </w:rPr>
        <w:t>Bærum</w:t>
      </w:r>
      <w:proofErr w:type="spellEnd"/>
      <w:r w:rsidR="00A22D6E">
        <w:rPr>
          <w:szCs w:val="20"/>
        </w:rPr>
        <w:t>,</w:t>
      </w:r>
      <w:r w:rsidRPr="005865DE">
        <w:rPr>
          <w:szCs w:val="20"/>
        </w:rPr>
        <w:t xml:space="preserve"> K</w:t>
      </w:r>
      <w:r w:rsidR="00A22D6E">
        <w:rPr>
          <w:szCs w:val="20"/>
        </w:rPr>
        <w:t>.</w:t>
      </w:r>
      <w:r w:rsidRPr="005865DE">
        <w:rPr>
          <w:szCs w:val="20"/>
        </w:rPr>
        <w:t>M</w:t>
      </w:r>
      <w:r w:rsidR="00A22D6E">
        <w:rPr>
          <w:szCs w:val="20"/>
        </w:rPr>
        <w:t>.</w:t>
      </w:r>
      <w:r w:rsidRPr="005865DE">
        <w:rPr>
          <w:szCs w:val="20"/>
        </w:rPr>
        <w:t>, Anker-</w:t>
      </w:r>
      <w:proofErr w:type="spellStart"/>
      <w:r w:rsidRPr="005865DE">
        <w:rPr>
          <w:szCs w:val="20"/>
        </w:rPr>
        <w:t>Nilssen</w:t>
      </w:r>
      <w:proofErr w:type="spellEnd"/>
      <w:r w:rsidR="00A22D6E">
        <w:rPr>
          <w:szCs w:val="20"/>
        </w:rPr>
        <w:t>,</w:t>
      </w:r>
      <w:r w:rsidRPr="005865DE">
        <w:rPr>
          <w:szCs w:val="20"/>
        </w:rPr>
        <w:t xml:space="preserve"> T</w:t>
      </w:r>
      <w:r w:rsidR="00A22D6E">
        <w:rPr>
          <w:szCs w:val="20"/>
        </w:rPr>
        <w:t>.</w:t>
      </w:r>
      <w:r w:rsidRPr="005865DE">
        <w:rPr>
          <w:szCs w:val="20"/>
        </w:rPr>
        <w:t>, Christensen-Dalsgaard</w:t>
      </w:r>
      <w:r w:rsidR="00A22D6E">
        <w:rPr>
          <w:szCs w:val="20"/>
        </w:rPr>
        <w:t>,</w:t>
      </w:r>
      <w:r w:rsidRPr="005865DE">
        <w:rPr>
          <w:szCs w:val="20"/>
        </w:rPr>
        <w:t xml:space="preserve"> S</w:t>
      </w:r>
      <w:r w:rsidR="00A22D6E">
        <w:rPr>
          <w:szCs w:val="20"/>
        </w:rPr>
        <w:t>.</w:t>
      </w:r>
      <w:r w:rsidRPr="005865DE">
        <w:rPr>
          <w:szCs w:val="20"/>
        </w:rPr>
        <w:t xml:space="preserve">, </w:t>
      </w:r>
      <w:proofErr w:type="spellStart"/>
      <w:r w:rsidRPr="005865DE">
        <w:rPr>
          <w:szCs w:val="20"/>
        </w:rPr>
        <w:t>Fangel</w:t>
      </w:r>
      <w:proofErr w:type="spellEnd"/>
      <w:r w:rsidR="00A22D6E">
        <w:rPr>
          <w:szCs w:val="20"/>
        </w:rPr>
        <w:t>,</w:t>
      </w:r>
      <w:r w:rsidRPr="005865DE">
        <w:rPr>
          <w:szCs w:val="20"/>
        </w:rPr>
        <w:t xml:space="preserve"> K</w:t>
      </w:r>
      <w:r w:rsidR="00A22D6E">
        <w:rPr>
          <w:szCs w:val="20"/>
        </w:rPr>
        <w:t>.</w:t>
      </w:r>
      <w:r w:rsidRPr="005865DE">
        <w:rPr>
          <w:szCs w:val="20"/>
        </w:rPr>
        <w:t>, Williams</w:t>
      </w:r>
      <w:r w:rsidR="00A22D6E">
        <w:rPr>
          <w:szCs w:val="20"/>
        </w:rPr>
        <w:t>,</w:t>
      </w:r>
      <w:r w:rsidRPr="005865DE">
        <w:rPr>
          <w:szCs w:val="20"/>
        </w:rPr>
        <w:t xml:space="preserve"> T</w:t>
      </w:r>
      <w:r w:rsidR="00A22D6E">
        <w:rPr>
          <w:szCs w:val="20"/>
        </w:rPr>
        <w:t xml:space="preserve">. &amp; </w:t>
      </w:r>
      <w:proofErr w:type="spellStart"/>
      <w:r w:rsidRPr="005865DE">
        <w:rPr>
          <w:szCs w:val="20"/>
        </w:rPr>
        <w:t>Vølstad</w:t>
      </w:r>
      <w:proofErr w:type="spellEnd"/>
      <w:r w:rsidR="00A22D6E">
        <w:rPr>
          <w:szCs w:val="20"/>
        </w:rPr>
        <w:t>,</w:t>
      </w:r>
      <w:r w:rsidRPr="005865DE">
        <w:rPr>
          <w:szCs w:val="20"/>
        </w:rPr>
        <w:t xml:space="preserve"> J</w:t>
      </w:r>
      <w:r w:rsidR="00A22D6E">
        <w:rPr>
          <w:szCs w:val="20"/>
        </w:rPr>
        <w:t>.</w:t>
      </w:r>
      <w:r w:rsidRPr="005865DE">
        <w:rPr>
          <w:szCs w:val="20"/>
        </w:rPr>
        <w:t>H</w:t>
      </w:r>
      <w:r w:rsidR="00A22D6E">
        <w:rPr>
          <w:szCs w:val="20"/>
        </w:rPr>
        <w:t>.</w:t>
      </w:r>
      <w:r w:rsidRPr="005865DE">
        <w:rPr>
          <w:szCs w:val="20"/>
        </w:rPr>
        <w:t xml:space="preserve"> (2019) Spatial and temporal variations in seabird bycatch: Incidental bycatch in the Norwegian coastal gillnet-fishery. </w:t>
      </w:r>
      <w:proofErr w:type="spellStart"/>
      <w:r w:rsidRPr="005865DE">
        <w:rPr>
          <w:szCs w:val="20"/>
        </w:rPr>
        <w:t>PLoS</w:t>
      </w:r>
      <w:proofErr w:type="spellEnd"/>
      <w:r w:rsidRPr="005865DE">
        <w:rPr>
          <w:szCs w:val="20"/>
        </w:rPr>
        <w:t xml:space="preserve"> ONE 14(3): e0212786. https://doi.org/10.1371/journal. pone.0212786</w:t>
      </w:r>
    </w:p>
    <w:p w:rsidR="00273230" w:rsidRDefault="00273230" w:rsidP="00273230">
      <w:pPr>
        <w:spacing w:after="0" w:line="240" w:lineRule="auto"/>
        <w:rPr>
          <w:szCs w:val="20"/>
        </w:rPr>
      </w:pPr>
    </w:p>
    <w:p w:rsidR="00907F18" w:rsidRPr="005865DE" w:rsidRDefault="00A22D6E" w:rsidP="00273230">
      <w:pPr>
        <w:spacing w:after="0" w:line="240" w:lineRule="auto"/>
        <w:rPr>
          <w:szCs w:val="20"/>
        </w:rPr>
      </w:pPr>
      <w:proofErr w:type="spellStart"/>
      <w:r>
        <w:rPr>
          <w:szCs w:val="20"/>
        </w:rPr>
        <w:t>Fangel</w:t>
      </w:r>
      <w:proofErr w:type="spellEnd"/>
      <w:r>
        <w:rPr>
          <w:szCs w:val="20"/>
        </w:rPr>
        <w:t>, K., Wold, L.</w:t>
      </w:r>
      <w:r w:rsidR="00907F18" w:rsidRPr="005865DE">
        <w:rPr>
          <w:szCs w:val="20"/>
        </w:rPr>
        <w:t xml:space="preserve">C., </w:t>
      </w:r>
      <w:proofErr w:type="spellStart"/>
      <w:r w:rsidR="00907F18" w:rsidRPr="005865DE">
        <w:rPr>
          <w:szCs w:val="20"/>
        </w:rPr>
        <w:t>Aas</w:t>
      </w:r>
      <w:proofErr w:type="spellEnd"/>
      <w:r w:rsidR="00907F18" w:rsidRPr="005865DE">
        <w:rPr>
          <w:szCs w:val="20"/>
        </w:rPr>
        <w:t xml:space="preserve">, Ø., Christensen-Dalsgaard, S., </w:t>
      </w:r>
      <w:proofErr w:type="spellStart"/>
      <w:r w:rsidR="00907F18" w:rsidRPr="005865DE">
        <w:rPr>
          <w:szCs w:val="20"/>
        </w:rPr>
        <w:t>Qvenild</w:t>
      </w:r>
      <w:proofErr w:type="spellEnd"/>
      <w:r w:rsidR="00907F18" w:rsidRPr="005865DE">
        <w:rPr>
          <w:szCs w:val="20"/>
        </w:rPr>
        <w:t xml:space="preserve">, M., </w:t>
      </w:r>
      <w:r>
        <w:rPr>
          <w:szCs w:val="20"/>
        </w:rPr>
        <w:t>&amp;</w:t>
      </w:r>
      <w:r w:rsidR="00907F18" w:rsidRPr="005865DE">
        <w:rPr>
          <w:szCs w:val="20"/>
        </w:rPr>
        <w:t xml:space="preserve"> Anker-</w:t>
      </w:r>
      <w:proofErr w:type="spellStart"/>
      <w:r w:rsidR="00907F18" w:rsidRPr="005865DE">
        <w:rPr>
          <w:szCs w:val="20"/>
        </w:rPr>
        <w:t>Nilssen</w:t>
      </w:r>
      <w:proofErr w:type="spellEnd"/>
      <w:r w:rsidR="00907F18" w:rsidRPr="005865DE">
        <w:rPr>
          <w:szCs w:val="20"/>
        </w:rPr>
        <w:t xml:space="preserve">, T. </w:t>
      </w:r>
      <w:r w:rsidR="00C031F5" w:rsidRPr="005865DE">
        <w:rPr>
          <w:szCs w:val="20"/>
        </w:rPr>
        <w:t>(</w:t>
      </w:r>
      <w:r w:rsidR="00907F18" w:rsidRPr="005865DE">
        <w:rPr>
          <w:szCs w:val="20"/>
        </w:rPr>
        <w:t>2011</w:t>
      </w:r>
      <w:r w:rsidR="00C031F5" w:rsidRPr="005865DE">
        <w:rPr>
          <w:szCs w:val="20"/>
        </w:rPr>
        <w:t>)</w:t>
      </w:r>
      <w:r w:rsidR="00907F18" w:rsidRPr="005865DE">
        <w:rPr>
          <w:szCs w:val="20"/>
        </w:rPr>
        <w:t xml:space="preserve">. </w:t>
      </w:r>
      <w:proofErr w:type="spellStart"/>
      <w:r w:rsidR="00907F18" w:rsidRPr="005865DE">
        <w:rPr>
          <w:szCs w:val="20"/>
        </w:rPr>
        <w:t>Bifangst</w:t>
      </w:r>
      <w:proofErr w:type="spellEnd"/>
      <w:r w:rsidR="00907F18" w:rsidRPr="005865DE">
        <w:rPr>
          <w:szCs w:val="20"/>
        </w:rPr>
        <w:t xml:space="preserve"> </w:t>
      </w:r>
      <w:proofErr w:type="spellStart"/>
      <w:r w:rsidR="00907F18" w:rsidRPr="005865DE">
        <w:rPr>
          <w:szCs w:val="20"/>
        </w:rPr>
        <w:t>av</w:t>
      </w:r>
      <w:proofErr w:type="spellEnd"/>
      <w:r w:rsidR="00907F18" w:rsidRPr="005865DE">
        <w:rPr>
          <w:szCs w:val="20"/>
        </w:rPr>
        <w:t xml:space="preserve"> </w:t>
      </w:r>
      <w:proofErr w:type="spellStart"/>
      <w:r w:rsidR="00907F18" w:rsidRPr="005865DE">
        <w:rPr>
          <w:szCs w:val="20"/>
        </w:rPr>
        <w:t>sjøfugl</w:t>
      </w:r>
      <w:proofErr w:type="spellEnd"/>
      <w:r w:rsidR="00907F18" w:rsidRPr="005865DE">
        <w:rPr>
          <w:szCs w:val="20"/>
        </w:rPr>
        <w:t xml:space="preserve"> </w:t>
      </w:r>
      <w:proofErr w:type="spellStart"/>
      <w:r w:rsidR="00907F18" w:rsidRPr="005865DE">
        <w:rPr>
          <w:szCs w:val="20"/>
        </w:rPr>
        <w:t>i</w:t>
      </w:r>
      <w:proofErr w:type="spellEnd"/>
      <w:r w:rsidR="00907F18" w:rsidRPr="005865DE">
        <w:rPr>
          <w:szCs w:val="20"/>
        </w:rPr>
        <w:t xml:space="preserve"> </w:t>
      </w:r>
      <w:proofErr w:type="spellStart"/>
      <w:r w:rsidR="00907F18" w:rsidRPr="005865DE">
        <w:rPr>
          <w:szCs w:val="20"/>
        </w:rPr>
        <w:t>norske</w:t>
      </w:r>
      <w:proofErr w:type="spellEnd"/>
      <w:r w:rsidR="00907F18" w:rsidRPr="005865DE">
        <w:rPr>
          <w:szCs w:val="20"/>
        </w:rPr>
        <w:t xml:space="preserve"> </w:t>
      </w:r>
      <w:proofErr w:type="spellStart"/>
      <w:r w:rsidR="00907F18" w:rsidRPr="005865DE">
        <w:rPr>
          <w:szCs w:val="20"/>
        </w:rPr>
        <w:t>kystfiskerier</w:t>
      </w:r>
      <w:proofErr w:type="spellEnd"/>
      <w:r w:rsidR="00907F18" w:rsidRPr="005865DE">
        <w:rPr>
          <w:szCs w:val="20"/>
        </w:rPr>
        <w:t xml:space="preserve">. Et </w:t>
      </w:r>
      <w:proofErr w:type="spellStart"/>
      <w:r w:rsidR="00907F18" w:rsidRPr="005865DE">
        <w:rPr>
          <w:szCs w:val="20"/>
        </w:rPr>
        <w:t>kartleggings</w:t>
      </w:r>
      <w:proofErr w:type="spellEnd"/>
      <w:r w:rsidR="00907F18" w:rsidRPr="005865DE">
        <w:rPr>
          <w:szCs w:val="20"/>
        </w:rPr>
        <w:t xml:space="preserve">- </w:t>
      </w:r>
      <w:proofErr w:type="spellStart"/>
      <w:r w:rsidR="00907F18" w:rsidRPr="005865DE">
        <w:rPr>
          <w:szCs w:val="20"/>
        </w:rPr>
        <w:t>og</w:t>
      </w:r>
      <w:proofErr w:type="spellEnd"/>
      <w:r w:rsidR="00907F18" w:rsidRPr="005865DE">
        <w:rPr>
          <w:szCs w:val="20"/>
        </w:rPr>
        <w:t xml:space="preserve"> </w:t>
      </w:r>
      <w:proofErr w:type="spellStart"/>
      <w:r w:rsidR="00907F18" w:rsidRPr="005865DE">
        <w:rPr>
          <w:szCs w:val="20"/>
        </w:rPr>
        <w:t>metodeutprøvingsprosjekt</w:t>
      </w:r>
      <w:proofErr w:type="spellEnd"/>
      <w:r w:rsidR="00907F18" w:rsidRPr="005865DE">
        <w:rPr>
          <w:szCs w:val="20"/>
        </w:rPr>
        <w:t xml:space="preserve"> med </w:t>
      </w:r>
      <w:proofErr w:type="spellStart"/>
      <w:r w:rsidR="00907F18" w:rsidRPr="005865DE">
        <w:rPr>
          <w:szCs w:val="20"/>
        </w:rPr>
        <w:t>fokus</w:t>
      </w:r>
      <w:proofErr w:type="spellEnd"/>
      <w:r w:rsidR="00907F18" w:rsidRPr="005865DE">
        <w:rPr>
          <w:szCs w:val="20"/>
        </w:rPr>
        <w:t xml:space="preserve"> </w:t>
      </w:r>
      <w:proofErr w:type="spellStart"/>
      <w:r w:rsidR="00907F18" w:rsidRPr="005865DE">
        <w:rPr>
          <w:szCs w:val="20"/>
        </w:rPr>
        <w:t>på</w:t>
      </w:r>
      <w:proofErr w:type="spellEnd"/>
      <w:r w:rsidR="00907F18" w:rsidRPr="005865DE">
        <w:rPr>
          <w:szCs w:val="20"/>
        </w:rPr>
        <w:t xml:space="preserve"> </w:t>
      </w:r>
      <w:proofErr w:type="spellStart"/>
      <w:r w:rsidR="00907F18" w:rsidRPr="005865DE">
        <w:rPr>
          <w:szCs w:val="20"/>
        </w:rPr>
        <w:t>fiske</w:t>
      </w:r>
      <w:proofErr w:type="spellEnd"/>
      <w:r w:rsidR="00907F18" w:rsidRPr="005865DE">
        <w:rPr>
          <w:szCs w:val="20"/>
        </w:rPr>
        <w:t xml:space="preserve"> med garn </w:t>
      </w:r>
      <w:proofErr w:type="spellStart"/>
      <w:r w:rsidR="00907F18" w:rsidRPr="005865DE">
        <w:rPr>
          <w:szCs w:val="20"/>
        </w:rPr>
        <w:t>og</w:t>
      </w:r>
      <w:proofErr w:type="spellEnd"/>
      <w:r w:rsidR="00907F18" w:rsidRPr="005865DE">
        <w:rPr>
          <w:szCs w:val="20"/>
        </w:rPr>
        <w:t xml:space="preserve"> line [Bycatch of sea birds in Norwegian coastal fisheries]. NINA Rapport: 719. 72 pp.</w:t>
      </w:r>
    </w:p>
    <w:p w:rsidR="00273230" w:rsidRDefault="00273230" w:rsidP="00273230">
      <w:pPr>
        <w:spacing w:after="0" w:line="240" w:lineRule="auto"/>
        <w:rPr>
          <w:szCs w:val="20"/>
          <w:lang w:eastAsia="en-US"/>
        </w:rPr>
      </w:pPr>
    </w:p>
    <w:p w:rsidR="00C031F5" w:rsidRPr="005865DE" w:rsidRDefault="00C031F5" w:rsidP="00273230">
      <w:pPr>
        <w:spacing w:after="0" w:line="240" w:lineRule="auto"/>
        <w:rPr>
          <w:szCs w:val="20"/>
        </w:rPr>
      </w:pPr>
      <w:proofErr w:type="spellStart"/>
      <w:r w:rsidRPr="005865DE">
        <w:rPr>
          <w:szCs w:val="20"/>
          <w:lang w:eastAsia="en-US"/>
        </w:rPr>
        <w:t>Fangel</w:t>
      </w:r>
      <w:proofErr w:type="spellEnd"/>
      <w:r w:rsidRPr="005865DE">
        <w:rPr>
          <w:szCs w:val="20"/>
          <w:lang w:eastAsia="en-US"/>
        </w:rPr>
        <w:t xml:space="preserve">, K., </w:t>
      </w:r>
      <w:proofErr w:type="spellStart"/>
      <w:r w:rsidRPr="005865DE">
        <w:rPr>
          <w:szCs w:val="20"/>
          <w:lang w:eastAsia="en-US"/>
        </w:rPr>
        <w:t>Aas</w:t>
      </w:r>
      <w:proofErr w:type="spellEnd"/>
      <w:r w:rsidRPr="005865DE">
        <w:rPr>
          <w:szCs w:val="20"/>
          <w:lang w:eastAsia="en-US"/>
        </w:rPr>
        <w:t xml:space="preserve">, Ø., </w:t>
      </w:r>
      <w:proofErr w:type="spellStart"/>
      <w:r w:rsidRPr="005865DE">
        <w:rPr>
          <w:szCs w:val="20"/>
          <w:lang w:eastAsia="en-US"/>
        </w:rPr>
        <w:t>Vølstad</w:t>
      </w:r>
      <w:proofErr w:type="spellEnd"/>
      <w:r w:rsidRPr="005865DE">
        <w:rPr>
          <w:szCs w:val="20"/>
          <w:lang w:eastAsia="en-US"/>
        </w:rPr>
        <w:t xml:space="preserve">, J.H., </w:t>
      </w:r>
      <w:proofErr w:type="spellStart"/>
      <w:r w:rsidRPr="005865DE">
        <w:rPr>
          <w:szCs w:val="20"/>
          <w:lang w:eastAsia="en-US"/>
        </w:rPr>
        <w:t>Bærum</w:t>
      </w:r>
      <w:proofErr w:type="spellEnd"/>
      <w:r w:rsidRPr="005865DE">
        <w:rPr>
          <w:szCs w:val="20"/>
          <w:lang w:eastAsia="en-US"/>
        </w:rPr>
        <w:t xml:space="preserve">, K.M., Christensen-Dalsgaard, S., </w:t>
      </w:r>
      <w:proofErr w:type="spellStart"/>
      <w:r w:rsidRPr="005865DE">
        <w:rPr>
          <w:szCs w:val="20"/>
          <w:lang w:eastAsia="en-US"/>
        </w:rPr>
        <w:t>Nedreaas</w:t>
      </w:r>
      <w:proofErr w:type="spellEnd"/>
      <w:r w:rsidRPr="005865DE">
        <w:rPr>
          <w:szCs w:val="20"/>
          <w:lang w:eastAsia="en-US"/>
        </w:rPr>
        <w:t xml:space="preserve">, K.,  </w:t>
      </w:r>
      <w:proofErr w:type="spellStart"/>
      <w:r w:rsidRPr="005865DE">
        <w:rPr>
          <w:szCs w:val="20"/>
          <w:lang w:eastAsia="en-US"/>
        </w:rPr>
        <w:t>Overvik</w:t>
      </w:r>
      <w:proofErr w:type="spellEnd"/>
      <w:r w:rsidRPr="005865DE">
        <w:rPr>
          <w:szCs w:val="20"/>
          <w:lang w:eastAsia="en-US"/>
        </w:rPr>
        <w:t>, M., Wold, L.C. &amp; Anker-</w:t>
      </w:r>
      <w:proofErr w:type="spellStart"/>
      <w:r w:rsidRPr="005865DE">
        <w:rPr>
          <w:szCs w:val="20"/>
          <w:lang w:eastAsia="en-US"/>
        </w:rPr>
        <w:t>Nilssen</w:t>
      </w:r>
      <w:proofErr w:type="spellEnd"/>
      <w:r w:rsidRPr="005865DE">
        <w:rPr>
          <w:szCs w:val="20"/>
          <w:lang w:eastAsia="en-US"/>
        </w:rPr>
        <w:t xml:space="preserve">, T. </w:t>
      </w:r>
      <w:r w:rsidRPr="005865DE">
        <w:rPr>
          <w:szCs w:val="20"/>
        </w:rPr>
        <w:t xml:space="preserve">  (2015).  Assessing incidental bycatch of seabirds in Norwegian coastal commercial fisheries: Empirical and methodological lessons. Global Ecology and Conservation 4, 127-136. http://dx.doi.org/10.1016/j.gecco.2015.06.001 </w:t>
      </w:r>
    </w:p>
    <w:p w:rsidR="00273230" w:rsidRDefault="00273230" w:rsidP="00273230">
      <w:pPr>
        <w:spacing w:after="0" w:line="240" w:lineRule="auto"/>
        <w:rPr>
          <w:szCs w:val="20"/>
        </w:rPr>
      </w:pPr>
    </w:p>
    <w:p w:rsidR="00C031F5" w:rsidRPr="005865DE" w:rsidRDefault="00C031F5" w:rsidP="00273230">
      <w:pPr>
        <w:spacing w:after="0" w:line="240" w:lineRule="auto"/>
        <w:rPr>
          <w:szCs w:val="20"/>
        </w:rPr>
      </w:pPr>
      <w:proofErr w:type="spellStart"/>
      <w:r w:rsidRPr="005865DE">
        <w:rPr>
          <w:szCs w:val="20"/>
        </w:rPr>
        <w:t>Fangel</w:t>
      </w:r>
      <w:proofErr w:type="spellEnd"/>
      <w:r w:rsidRPr="005865DE">
        <w:rPr>
          <w:szCs w:val="20"/>
        </w:rPr>
        <w:t xml:space="preserve">, K., </w:t>
      </w:r>
      <w:proofErr w:type="spellStart"/>
      <w:r w:rsidRPr="005865DE">
        <w:rPr>
          <w:szCs w:val="20"/>
        </w:rPr>
        <w:t>Bærum</w:t>
      </w:r>
      <w:proofErr w:type="spellEnd"/>
      <w:r w:rsidRPr="005865DE">
        <w:rPr>
          <w:szCs w:val="20"/>
        </w:rPr>
        <w:t>, K. M., Chr</w:t>
      </w:r>
      <w:r w:rsidR="00A22D6E">
        <w:rPr>
          <w:szCs w:val="20"/>
        </w:rPr>
        <w:t xml:space="preserve">istensen-Dalsgaard, S., </w:t>
      </w:r>
      <w:proofErr w:type="spellStart"/>
      <w:r w:rsidR="00A22D6E">
        <w:rPr>
          <w:szCs w:val="20"/>
        </w:rPr>
        <w:t>Aas</w:t>
      </w:r>
      <w:proofErr w:type="spellEnd"/>
      <w:r w:rsidR="00A22D6E">
        <w:rPr>
          <w:szCs w:val="20"/>
        </w:rPr>
        <w:t>, Ø. &amp;</w:t>
      </w:r>
      <w:r w:rsidRPr="005865DE">
        <w:rPr>
          <w:szCs w:val="20"/>
        </w:rPr>
        <w:t xml:space="preserve"> Anker-</w:t>
      </w:r>
      <w:proofErr w:type="spellStart"/>
      <w:r w:rsidRPr="005865DE">
        <w:rPr>
          <w:szCs w:val="20"/>
        </w:rPr>
        <w:t>Nilssen</w:t>
      </w:r>
      <w:proofErr w:type="spellEnd"/>
      <w:r w:rsidRPr="005865DE">
        <w:rPr>
          <w:szCs w:val="20"/>
        </w:rPr>
        <w:t>, T. (2017). Incidental bycatch of northern fulmars in the small-vessel demersal longline fishery for Greenland halibu</w:t>
      </w:r>
      <w:r w:rsidR="005865DE" w:rsidRPr="005865DE">
        <w:rPr>
          <w:szCs w:val="20"/>
        </w:rPr>
        <w:t xml:space="preserve">t in coastal Norway 2012–2014. </w:t>
      </w:r>
      <w:r w:rsidRPr="005865DE">
        <w:rPr>
          <w:szCs w:val="20"/>
        </w:rPr>
        <w:t xml:space="preserve"> ICES Journal of Marine Science, 74: 332–342. </w:t>
      </w:r>
    </w:p>
    <w:p w:rsidR="00273230" w:rsidRDefault="00273230" w:rsidP="00273230">
      <w:pPr>
        <w:autoSpaceDE w:val="0"/>
        <w:autoSpaceDN w:val="0"/>
        <w:adjustRightInd w:val="0"/>
        <w:spacing w:after="0" w:line="240" w:lineRule="auto"/>
        <w:rPr>
          <w:szCs w:val="20"/>
        </w:rPr>
      </w:pPr>
    </w:p>
    <w:p w:rsidR="00907F18" w:rsidRDefault="00A22D6E" w:rsidP="00273230">
      <w:pPr>
        <w:autoSpaceDE w:val="0"/>
        <w:autoSpaceDN w:val="0"/>
        <w:adjustRightInd w:val="0"/>
        <w:spacing w:after="0" w:line="240" w:lineRule="auto"/>
        <w:rPr>
          <w:szCs w:val="20"/>
        </w:rPr>
      </w:pPr>
      <w:r>
        <w:rPr>
          <w:szCs w:val="20"/>
        </w:rPr>
        <w:t>ICES</w:t>
      </w:r>
      <w:r w:rsidR="005865DE">
        <w:rPr>
          <w:szCs w:val="20"/>
        </w:rPr>
        <w:t xml:space="preserve"> </w:t>
      </w:r>
      <w:r>
        <w:rPr>
          <w:szCs w:val="20"/>
        </w:rPr>
        <w:t>(</w:t>
      </w:r>
      <w:r w:rsidR="005865DE">
        <w:rPr>
          <w:szCs w:val="20"/>
        </w:rPr>
        <w:t>2019</w:t>
      </w:r>
      <w:r>
        <w:rPr>
          <w:szCs w:val="20"/>
        </w:rPr>
        <w:t>)</w:t>
      </w:r>
      <w:r w:rsidR="005865DE">
        <w:rPr>
          <w:szCs w:val="20"/>
        </w:rPr>
        <w:t xml:space="preserve">. Barents Sea Ecosystem – Fisheries overview. </w:t>
      </w:r>
      <w:r w:rsidR="005865DE">
        <w:rPr>
          <w:i/>
          <w:iCs/>
          <w:szCs w:val="20"/>
        </w:rPr>
        <w:t xml:space="preserve">In </w:t>
      </w:r>
      <w:r w:rsidR="005865DE">
        <w:rPr>
          <w:szCs w:val="20"/>
        </w:rPr>
        <w:t xml:space="preserve">Report of the ICES Advisory Committee, 2019. ICES Advice 2019, Section 5.2. 28 pp. https://doi.org/10.17895/ices.advice.5705. </w:t>
      </w:r>
      <w:r w:rsidR="00907F18">
        <w:rPr>
          <w:szCs w:val="20"/>
        </w:rPr>
        <w:br w:type="page"/>
      </w:r>
    </w:p>
    <w:p w:rsidR="00907F18" w:rsidRDefault="00907F18" w:rsidP="00150870">
      <w:pPr>
        <w:rPr>
          <w:szCs w:val="20"/>
        </w:rPr>
        <w:sectPr w:rsidR="00907F18">
          <w:pgSz w:w="11906" w:h="16838"/>
          <w:pgMar w:top="1440" w:right="1440" w:bottom="1440" w:left="1440" w:header="708" w:footer="708" w:gutter="0"/>
          <w:cols w:space="708"/>
          <w:docGrid w:linePitch="360"/>
        </w:sectPr>
      </w:pPr>
    </w:p>
    <w:p w:rsidR="00907F18" w:rsidRPr="00D04CFA" w:rsidRDefault="00907F18" w:rsidP="00C031F5">
      <w:pPr>
        <w:spacing w:after="0" w:line="240" w:lineRule="auto"/>
        <w:contextualSpacing/>
        <w:mirrorIndents/>
        <w:rPr>
          <w:color w:val="auto"/>
          <w:szCs w:val="20"/>
          <w:lang w:eastAsia="en-US"/>
        </w:rPr>
      </w:pPr>
      <w:r w:rsidRPr="00D04CFA">
        <w:rPr>
          <w:szCs w:val="20"/>
        </w:rPr>
        <w:lastRenderedPageBreak/>
        <w:t xml:space="preserve">Table 1. Assembled data on seabird bycatch in coastal Norwegian fisheries. Articles: 1, </w:t>
      </w:r>
      <w:proofErr w:type="spellStart"/>
      <w:r w:rsidRPr="00D04CFA">
        <w:rPr>
          <w:szCs w:val="20"/>
        </w:rPr>
        <w:t>Fangel</w:t>
      </w:r>
      <w:proofErr w:type="spellEnd"/>
      <w:r w:rsidRPr="00D04CFA">
        <w:rPr>
          <w:szCs w:val="20"/>
        </w:rPr>
        <w:t xml:space="preserve"> et al. 2011; 2, </w:t>
      </w:r>
      <w:proofErr w:type="spellStart"/>
      <w:r w:rsidRPr="00D04CFA">
        <w:rPr>
          <w:szCs w:val="20"/>
        </w:rPr>
        <w:t>Bærum</w:t>
      </w:r>
      <w:proofErr w:type="spellEnd"/>
      <w:r w:rsidRPr="00D04CFA">
        <w:rPr>
          <w:szCs w:val="20"/>
        </w:rPr>
        <w:t xml:space="preserve"> et al 2019; </w:t>
      </w:r>
      <w:r w:rsidR="00C031F5" w:rsidRPr="00D04CFA">
        <w:rPr>
          <w:szCs w:val="20"/>
        </w:rPr>
        <w:t xml:space="preserve">3. </w:t>
      </w:r>
      <w:proofErr w:type="spellStart"/>
      <w:r w:rsidR="00C031F5" w:rsidRPr="00D04CFA">
        <w:rPr>
          <w:szCs w:val="20"/>
        </w:rPr>
        <w:t>Fangel</w:t>
      </w:r>
      <w:proofErr w:type="spellEnd"/>
      <w:r w:rsidR="00C031F5" w:rsidRPr="00D04CFA">
        <w:rPr>
          <w:szCs w:val="20"/>
        </w:rPr>
        <w:t xml:space="preserve"> et al, 2015; 4, </w:t>
      </w:r>
      <w:proofErr w:type="spellStart"/>
      <w:r w:rsidR="00C031F5" w:rsidRPr="00D04CFA">
        <w:rPr>
          <w:szCs w:val="20"/>
        </w:rPr>
        <w:t>Fangel</w:t>
      </w:r>
      <w:proofErr w:type="spellEnd"/>
      <w:r w:rsidR="00C031F5" w:rsidRPr="00D04CFA">
        <w:rPr>
          <w:szCs w:val="20"/>
        </w:rPr>
        <w:t xml:space="preserve"> et al 2017. Sampling area 3, </w:t>
      </w:r>
      <w:proofErr w:type="spellStart"/>
      <w:r w:rsidR="00C031F5" w:rsidRPr="00D04CFA">
        <w:rPr>
          <w:szCs w:val="20"/>
        </w:rPr>
        <w:t>Finmark</w:t>
      </w:r>
      <w:proofErr w:type="spellEnd"/>
      <w:r w:rsidR="00C031F5" w:rsidRPr="00D04CFA">
        <w:rPr>
          <w:szCs w:val="20"/>
        </w:rPr>
        <w:t xml:space="preserve">; 4, Troms; 5, </w:t>
      </w:r>
      <w:proofErr w:type="spellStart"/>
      <w:r w:rsidR="00C031F5" w:rsidRPr="00D04CFA">
        <w:rPr>
          <w:color w:val="auto"/>
          <w:szCs w:val="20"/>
          <w:lang w:eastAsia="en-US"/>
        </w:rPr>
        <w:t>Vesterålen</w:t>
      </w:r>
      <w:proofErr w:type="spellEnd"/>
      <w:r w:rsidR="00C031F5" w:rsidRPr="00D04CFA">
        <w:rPr>
          <w:color w:val="auto"/>
          <w:szCs w:val="20"/>
          <w:lang w:eastAsia="en-US"/>
        </w:rPr>
        <w:t>. Fleet annual bycatch: ne = no estimate provided.</w:t>
      </w:r>
      <w:r w:rsidR="005865DE" w:rsidRPr="00D04CFA">
        <w:rPr>
          <w:color w:val="auto"/>
          <w:szCs w:val="20"/>
          <w:lang w:eastAsia="en-US"/>
        </w:rPr>
        <w:t xml:space="preserve"> The main bird species caught in all studies were fulmar and guillemot.</w:t>
      </w:r>
    </w:p>
    <w:p w:rsidR="00C031F5" w:rsidRDefault="00C031F5" w:rsidP="00C031F5">
      <w:pPr>
        <w:spacing w:after="0" w:line="240" w:lineRule="auto"/>
        <w:contextualSpacing/>
        <w:mirrorIndents/>
      </w:pPr>
    </w:p>
    <w:tbl>
      <w:tblPr>
        <w:tblW w:w="0" w:type="auto"/>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6"/>
        <w:gridCol w:w="708"/>
        <w:gridCol w:w="993"/>
        <w:gridCol w:w="1984"/>
        <w:gridCol w:w="1276"/>
        <w:gridCol w:w="1417"/>
        <w:gridCol w:w="1134"/>
        <w:gridCol w:w="1512"/>
        <w:gridCol w:w="1465"/>
        <w:gridCol w:w="2977"/>
      </w:tblGrid>
      <w:tr w:rsidR="00907F18" w:rsidTr="00C031F5">
        <w:tc>
          <w:tcPr>
            <w:tcW w:w="456"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Id</w:t>
            </w:r>
          </w:p>
        </w:tc>
        <w:tc>
          <w:tcPr>
            <w:tcW w:w="708"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Article</w:t>
            </w:r>
          </w:p>
        </w:tc>
        <w:tc>
          <w:tcPr>
            <w:tcW w:w="993"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Period</w:t>
            </w:r>
          </w:p>
        </w:tc>
        <w:tc>
          <w:tcPr>
            <w:tcW w:w="1984"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Fishery area</w:t>
            </w:r>
          </w:p>
        </w:tc>
        <w:tc>
          <w:tcPr>
            <w:tcW w:w="1276"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Fishery method</w:t>
            </w:r>
          </w:p>
        </w:tc>
        <w:tc>
          <w:tcPr>
            <w:tcW w:w="1417"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Fishery target</w:t>
            </w:r>
            <w:r>
              <w:rPr>
                <w:sz w:val="16"/>
                <w:szCs w:val="16"/>
                <w:lang w:eastAsia="en-US"/>
              </w:rPr>
              <w:t xml:space="preserve"> species</w:t>
            </w:r>
          </w:p>
        </w:tc>
        <w:tc>
          <w:tcPr>
            <w:tcW w:w="1134"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bycatch per unit effort</w:t>
            </w:r>
          </w:p>
        </w:tc>
        <w:tc>
          <w:tcPr>
            <w:tcW w:w="1512"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Units</w:t>
            </w:r>
          </w:p>
        </w:tc>
        <w:tc>
          <w:tcPr>
            <w:tcW w:w="1465"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 xml:space="preserve">Fleet </w:t>
            </w:r>
            <w:r w:rsidR="00C031F5">
              <w:rPr>
                <w:sz w:val="16"/>
                <w:szCs w:val="16"/>
                <w:lang w:eastAsia="en-US"/>
              </w:rPr>
              <w:t xml:space="preserve">annual bird </w:t>
            </w:r>
            <w:r w:rsidRPr="00907F18">
              <w:rPr>
                <w:sz w:val="16"/>
                <w:szCs w:val="16"/>
                <w:lang w:eastAsia="en-US"/>
              </w:rPr>
              <w:t>bycatch</w:t>
            </w:r>
          </w:p>
        </w:tc>
        <w:tc>
          <w:tcPr>
            <w:tcW w:w="2977"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Comments</w:t>
            </w:r>
          </w:p>
        </w:tc>
      </w:tr>
      <w:tr w:rsidR="00907F18" w:rsidTr="00C031F5">
        <w:tc>
          <w:tcPr>
            <w:tcW w:w="456" w:type="dxa"/>
          </w:tcPr>
          <w:p w:rsidR="00907F18" w:rsidRPr="00907F18" w:rsidRDefault="00907F18" w:rsidP="00C031F5">
            <w:pPr>
              <w:autoSpaceDE w:val="0"/>
              <w:autoSpaceDN w:val="0"/>
              <w:adjustRightInd w:val="0"/>
              <w:spacing w:after="0" w:line="240" w:lineRule="auto"/>
              <w:contextualSpacing/>
              <w:mirrorIndents/>
              <w:jc w:val="right"/>
              <w:rPr>
                <w:sz w:val="16"/>
                <w:szCs w:val="16"/>
                <w:lang w:eastAsia="en-US"/>
              </w:rPr>
            </w:pPr>
            <w:r w:rsidRPr="00907F18">
              <w:rPr>
                <w:sz w:val="16"/>
                <w:szCs w:val="16"/>
                <w:lang w:eastAsia="en-US"/>
              </w:rPr>
              <w:t>1</w:t>
            </w:r>
          </w:p>
        </w:tc>
        <w:tc>
          <w:tcPr>
            <w:tcW w:w="708" w:type="dxa"/>
          </w:tcPr>
          <w:p w:rsidR="00907F18" w:rsidRPr="00907F18" w:rsidRDefault="00907F18" w:rsidP="00C031F5">
            <w:pPr>
              <w:autoSpaceDE w:val="0"/>
              <w:autoSpaceDN w:val="0"/>
              <w:adjustRightInd w:val="0"/>
              <w:spacing w:after="0" w:line="240" w:lineRule="auto"/>
              <w:contextualSpacing/>
              <w:mirrorIndents/>
              <w:jc w:val="right"/>
              <w:rPr>
                <w:sz w:val="16"/>
                <w:szCs w:val="16"/>
                <w:lang w:eastAsia="en-US"/>
              </w:rPr>
            </w:pPr>
            <w:r w:rsidRPr="00907F18">
              <w:rPr>
                <w:sz w:val="16"/>
                <w:szCs w:val="16"/>
                <w:lang w:eastAsia="en-US"/>
              </w:rPr>
              <w:t>1</w:t>
            </w:r>
          </w:p>
        </w:tc>
        <w:tc>
          <w:tcPr>
            <w:tcW w:w="993"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2009-2010</w:t>
            </w:r>
          </w:p>
        </w:tc>
        <w:tc>
          <w:tcPr>
            <w:tcW w:w="1984"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Sampling areas 3 4 5</w:t>
            </w:r>
          </w:p>
        </w:tc>
        <w:tc>
          <w:tcPr>
            <w:tcW w:w="1276"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Gillnet</w:t>
            </w:r>
          </w:p>
        </w:tc>
        <w:tc>
          <w:tcPr>
            <w:tcW w:w="1417"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Cod</w:t>
            </w:r>
          </w:p>
        </w:tc>
        <w:tc>
          <w:tcPr>
            <w:tcW w:w="1134" w:type="dxa"/>
          </w:tcPr>
          <w:p w:rsidR="00907F18" w:rsidRPr="00907F18" w:rsidRDefault="00907F18" w:rsidP="00C031F5">
            <w:pPr>
              <w:autoSpaceDE w:val="0"/>
              <w:autoSpaceDN w:val="0"/>
              <w:adjustRightInd w:val="0"/>
              <w:spacing w:after="0" w:line="240" w:lineRule="auto"/>
              <w:contextualSpacing/>
              <w:mirrorIndents/>
              <w:jc w:val="right"/>
              <w:rPr>
                <w:sz w:val="16"/>
                <w:szCs w:val="16"/>
                <w:lang w:eastAsia="en-US"/>
              </w:rPr>
            </w:pPr>
            <w:r w:rsidRPr="00907F18">
              <w:rPr>
                <w:sz w:val="16"/>
                <w:szCs w:val="16"/>
                <w:lang w:eastAsia="en-US"/>
              </w:rPr>
              <w:t>0.07</w:t>
            </w:r>
            <w:r w:rsidR="00C031F5">
              <w:rPr>
                <w:sz w:val="16"/>
                <w:szCs w:val="16"/>
                <w:lang w:eastAsia="en-US"/>
              </w:rPr>
              <w:t>0</w:t>
            </w:r>
          </w:p>
        </w:tc>
        <w:tc>
          <w:tcPr>
            <w:tcW w:w="1512"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birds/tonne cod</w:t>
            </w:r>
          </w:p>
        </w:tc>
        <w:tc>
          <w:tcPr>
            <w:tcW w:w="1465"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ne</w:t>
            </w:r>
          </w:p>
        </w:tc>
        <w:tc>
          <w:tcPr>
            <w:tcW w:w="2977"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Preliminary study</w:t>
            </w:r>
          </w:p>
        </w:tc>
      </w:tr>
      <w:tr w:rsidR="00907F18" w:rsidTr="00C031F5">
        <w:tc>
          <w:tcPr>
            <w:tcW w:w="456" w:type="dxa"/>
          </w:tcPr>
          <w:p w:rsidR="00907F18" w:rsidRPr="00907F18" w:rsidRDefault="00907F18" w:rsidP="00C031F5">
            <w:pPr>
              <w:autoSpaceDE w:val="0"/>
              <w:autoSpaceDN w:val="0"/>
              <w:adjustRightInd w:val="0"/>
              <w:spacing w:after="0" w:line="240" w:lineRule="auto"/>
              <w:contextualSpacing/>
              <w:mirrorIndents/>
              <w:jc w:val="right"/>
              <w:rPr>
                <w:sz w:val="16"/>
                <w:szCs w:val="16"/>
                <w:lang w:eastAsia="en-US"/>
              </w:rPr>
            </w:pPr>
            <w:r w:rsidRPr="00907F18">
              <w:rPr>
                <w:sz w:val="16"/>
                <w:szCs w:val="16"/>
                <w:lang w:eastAsia="en-US"/>
              </w:rPr>
              <w:t>2</w:t>
            </w:r>
          </w:p>
        </w:tc>
        <w:tc>
          <w:tcPr>
            <w:tcW w:w="708" w:type="dxa"/>
          </w:tcPr>
          <w:p w:rsidR="00907F18" w:rsidRPr="00907F18" w:rsidRDefault="00907F18" w:rsidP="00C031F5">
            <w:pPr>
              <w:autoSpaceDE w:val="0"/>
              <w:autoSpaceDN w:val="0"/>
              <w:adjustRightInd w:val="0"/>
              <w:spacing w:after="0" w:line="240" w:lineRule="auto"/>
              <w:contextualSpacing/>
              <w:mirrorIndents/>
              <w:jc w:val="right"/>
              <w:rPr>
                <w:sz w:val="16"/>
                <w:szCs w:val="16"/>
                <w:lang w:eastAsia="en-US"/>
              </w:rPr>
            </w:pPr>
            <w:r w:rsidRPr="00907F18">
              <w:rPr>
                <w:sz w:val="16"/>
                <w:szCs w:val="16"/>
                <w:lang w:eastAsia="en-US"/>
              </w:rPr>
              <w:t>1</w:t>
            </w:r>
          </w:p>
        </w:tc>
        <w:tc>
          <w:tcPr>
            <w:tcW w:w="993"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2009-2010</w:t>
            </w:r>
          </w:p>
        </w:tc>
        <w:tc>
          <w:tcPr>
            <w:tcW w:w="1984"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Sampling areas 3 4 5</w:t>
            </w:r>
          </w:p>
        </w:tc>
        <w:tc>
          <w:tcPr>
            <w:tcW w:w="1276"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Gillnet</w:t>
            </w:r>
          </w:p>
        </w:tc>
        <w:tc>
          <w:tcPr>
            <w:tcW w:w="1417"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proofErr w:type="spellStart"/>
            <w:r w:rsidRPr="00907F18">
              <w:rPr>
                <w:sz w:val="16"/>
                <w:szCs w:val="16"/>
                <w:lang w:eastAsia="en-US"/>
              </w:rPr>
              <w:t>Lumpsucker</w:t>
            </w:r>
            <w:proofErr w:type="spellEnd"/>
          </w:p>
        </w:tc>
        <w:tc>
          <w:tcPr>
            <w:tcW w:w="1134" w:type="dxa"/>
          </w:tcPr>
          <w:p w:rsidR="00907F18" w:rsidRPr="00907F18" w:rsidRDefault="00907F18" w:rsidP="00C031F5">
            <w:pPr>
              <w:autoSpaceDE w:val="0"/>
              <w:autoSpaceDN w:val="0"/>
              <w:adjustRightInd w:val="0"/>
              <w:spacing w:after="0" w:line="240" w:lineRule="auto"/>
              <w:contextualSpacing/>
              <w:mirrorIndents/>
              <w:jc w:val="right"/>
              <w:rPr>
                <w:sz w:val="16"/>
                <w:szCs w:val="16"/>
                <w:lang w:eastAsia="en-US"/>
              </w:rPr>
            </w:pPr>
            <w:r w:rsidRPr="00907F18">
              <w:rPr>
                <w:sz w:val="16"/>
                <w:szCs w:val="16"/>
                <w:lang w:eastAsia="en-US"/>
              </w:rPr>
              <w:t>0.693</w:t>
            </w:r>
          </w:p>
        </w:tc>
        <w:tc>
          <w:tcPr>
            <w:tcW w:w="1512"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 xml:space="preserve">birds/tonne </w:t>
            </w:r>
            <w:proofErr w:type="spellStart"/>
            <w:r w:rsidRPr="00907F18">
              <w:rPr>
                <w:sz w:val="16"/>
                <w:szCs w:val="16"/>
                <w:lang w:eastAsia="en-US"/>
              </w:rPr>
              <w:t>lumpsucker</w:t>
            </w:r>
            <w:proofErr w:type="spellEnd"/>
          </w:p>
        </w:tc>
        <w:tc>
          <w:tcPr>
            <w:tcW w:w="1465"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ne</w:t>
            </w:r>
          </w:p>
        </w:tc>
        <w:tc>
          <w:tcPr>
            <w:tcW w:w="2977"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Preliminary study</w:t>
            </w:r>
          </w:p>
        </w:tc>
      </w:tr>
      <w:tr w:rsidR="00907F18" w:rsidTr="00C031F5">
        <w:tc>
          <w:tcPr>
            <w:tcW w:w="456" w:type="dxa"/>
          </w:tcPr>
          <w:p w:rsidR="00907F18" w:rsidRPr="00907F18" w:rsidRDefault="00907F18" w:rsidP="00C031F5">
            <w:pPr>
              <w:autoSpaceDE w:val="0"/>
              <w:autoSpaceDN w:val="0"/>
              <w:adjustRightInd w:val="0"/>
              <w:spacing w:after="0" w:line="240" w:lineRule="auto"/>
              <w:contextualSpacing/>
              <w:mirrorIndents/>
              <w:jc w:val="right"/>
              <w:rPr>
                <w:sz w:val="16"/>
                <w:szCs w:val="16"/>
                <w:lang w:eastAsia="en-US"/>
              </w:rPr>
            </w:pPr>
            <w:r w:rsidRPr="00907F18">
              <w:rPr>
                <w:sz w:val="16"/>
                <w:szCs w:val="16"/>
                <w:lang w:eastAsia="en-US"/>
              </w:rPr>
              <w:t>3</w:t>
            </w:r>
          </w:p>
        </w:tc>
        <w:tc>
          <w:tcPr>
            <w:tcW w:w="708" w:type="dxa"/>
          </w:tcPr>
          <w:p w:rsidR="00907F18" w:rsidRPr="00907F18" w:rsidRDefault="00907F18" w:rsidP="00C031F5">
            <w:pPr>
              <w:autoSpaceDE w:val="0"/>
              <w:autoSpaceDN w:val="0"/>
              <w:adjustRightInd w:val="0"/>
              <w:spacing w:after="0" w:line="240" w:lineRule="auto"/>
              <w:contextualSpacing/>
              <w:mirrorIndents/>
              <w:jc w:val="right"/>
              <w:rPr>
                <w:sz w:val="16"/>
                <w:szCs w:val="16"/>
                <w:lang w:eastAsia="en-US"/>
              </w:rPr>
            </w:pPr>
            <w:r w:rsidRPr="00907F18">
              <w:rPr>
                <w:sz w:val="16"/>
                <w:szCs w:val="16"/>
                <w:lang w:eastAsia="en-US"/>
              </w:rPr>
              <w:t>1</w:t>
            </w:r>
          </w:p>
        </w:tc>
        <w:tc>
          <w:tcPr>
            <w:tcW w:w="993"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2009-2010</w:t>
            </w:r>
          </w:p>
        </w:tc>
        <w:tc>
          <w:tcPr>
            <w:tcW w:w="1984"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Sampling areas 3 4 5</w:t>
            </w:r>
          </w:p>
        </w:tc>
        <w:tc>
          <w:tcPr>
            <w:tcW w:w="1276"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Longline</w:t>
            </w:r>
          </w:p>
        </w:tc>
        <w:tc>
          <w:tcPr>
            <w:tcW w:w="1417" w:type="dxa"/>
          </w:tcPr>
          <w:p w:rsidR="00907F18" w:rsidRPr="00907F18" w:rsidRDefault="00C031F5" w:rsidP="00C031F5">
            <w:pPr>
              <w:autoSpaceDE w:val="0"/>
              <w:autoSpaceDN w:val="0"/>
              <w:adjustRightInd w:val="0"/>
              <w:spacing w:after="0" w:line="240" w:lineRule="auto"/>
              <w:contextualSpacing/>
              <w:mirrorIndents/>
              <w:rPr>
                <w:sz w:val="16"/>
                <w:szCs w:val="16"/>
                <w:lang w:eastAsia="en-US"/>
              </w:rPr>
            </w:pPr>
            <w:r>
              <w:rPr>
                <w:sz w:val="16"/>
                <w:szCs w:val="16"/>
                <w:lang w:eastAsia="en-US"/>
              </w:rPr>
              <w:t>Greenland h</w:t>
            </w:r>
            <w:r w:rsidR="00907F18" w:rsidRPr="00907F18">
              <w:rPr>
                <w:sz w:val="16"/>
                <w:szCs w:val="16"/>
                <w:lang w:eastAsia="en-US"/>
              </w:rPr>
              <w:t>alibut</w:t>
            </w:r>
          </w:p>
        </w:tc>
        <w:tc>
          <w:tcPr>
            <w:tcW w:w="1134" w:type="dxa"/>
          </w:tcPr>
          <w:p w:rsidR="00907F18" w:rsidRPr="00907F18" w:rsidRDefault="00907F18" w:rsidP="00C031F5">
            <w:pPr>
              <w:autoSpaceDE w:val="0"/>
              <w:autoSpaceDN w:val="0"/>
              <w:adjustRightInd w:val="0"/>
              <w:spacing w:after="0" w:line="240" w:lineRule="auto"/>
              <w:contextualSpacing/>
              <w:mirrorIndents/>
              <w:jc w:val="right"/>
              <w:rPr>
                <w:sz w:val="16"/>
                <w:szCs w:val="16"/>
                <w:lang w:eastAsia="en-US"/>
              </w:rPr>
            </w:pPr>
            <w:r w:rsidRPr="00907F18">
              <w:rPr>
                <w:sz w:val="16"/>
                <w:szCs w:val="16"/>
                <w:lang w:eastAsia="en-US"/>
              </w:rPr>
              <w:t>0.759</w:t>
            </w:r>
          </w:p>
        </w:tc>
        <w:tc>
          <w:tcPr>
            <w:tcW w:w="1512"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birds/tonne halibut</w:t>
            </w:r>
          </w:p>
        </w:tc>
        <w:tc>
          <w:tcPr>
            <w:tcW w:w="1465"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ne</w:t>
            </w:r>
          </w:p>
        </w:tc>
        <w:tc>
          <w:tcPr>
            <w:tcW w:w="2977"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Preliminary study</w:t>
            </w:r>
          </w:p>
        </w:tc>
      </w:tr>
      <w:tr w:rsidR="00907F18" w:rsidTr="00C031F5">
        <w:tc>
          <w:tcPr>
            <w:tcW w:w="456" w:type="dxa"/>
          </w:tcPr>
          <w:p w:rsidR="00907F18" w:rsidRPr="00907F18" w:rsidRDefault="00907F18" w:rsidP="00C031F5">
            <w:pPr>
              <w:autoSpaceDE w:val="0"/>
              <w:autoSpaceDN w:val="0"/>
              <w:adjustRightInd w:val="0"/>
              <w:spacing w:after="0" w:line="240" w:lineRule="auto"/>
              <w:contextualSpacing/>
              <w:mirrorIndents/>
              <w:jc w:val="right"/>
              <w:rPr>
                <w:sz w:val="16"/>
                <w:szCs w:val="16"/>
                <w:lang w:eastAsia="en-US"/>
              </w:rPr>
            </w:pPr>
            <w:r w:rsidRPr="00907F18">
              <w:rPr>
                <w:sz w:val="16"/>
                <w:szCs w:val="16"/>
                <w:lang w:eastAsia="en-US"/>
              </w:rPr>
              <w:t>4</w:t>
            </w:r>
          </w:p>
        </w:tc>
        <w:tc>
          <w:tcPr>
            <w:tcW w:w="708" w:type="dxa"/>
          </w:tcPr>
          <w:p w:rsidR="00907F18" w:rsidRPr="00907F18" w:rsidRDefault="00907F18" w:rsidP="00C031F5">
            <w:pPr>
              <w:autoSpaceDE w:val="0"/>
              <w:autoSpaceDN w:val="0"/>
              <w:adjustRightInd w:val="0"/>
              <w:spacing w:after="0" w:line="240" w:lineRule="auto"/>
              <w:contextualSpacing/>
              <w:mirrorIndents/>
              <w:jc w:val="right"/>
              <w:rPr>
                <w:sz w:val="16"/>
                <w:szCs w:val="16"/>
                <w:lang w:eastAsia="en-US"/>
              </w:rPr>
            </w:pPr>
            <w:r w:rsidRPr="00907F18">
              <w:rPr>
                <w:sz w:val="16"/>
                <w:szCs w:val="16"/>
                <w:lang w:eastAsia="en-US"/>
              </w:rPr>
              <w:t>2</w:t>
            </w:r>
          </w:p>
        </w:tc>
        <w:tc>
          <w:tcPr>
            <w:tcW w:w="993"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2006-2015</w:t>
            </w:r>
          </w:p>
        </w:tc>
        <w:tc>
          <w:tcPr>
            <w:tcW w:w="1984"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Sampling areas 2 3 4 extracted from raw data</w:t>
            </w:r>
          </w:p>
        </w:tc>
        <w:tc>
          <w:tcPr>
            <w:tcW w:w="1276"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Gillnet</w:t>
            </w:r>
          </w:p>
        </w:tc>
        <w:tc>
          <w:tcPr>
            <w:tcW w:w="1417" w:type="dxa"/>
          </w:tcPr>
          <w:p w:rsidR="00907F18" w:rsidRPr="00907F18" w:rsidRDefault="00C031F5" w:rsidP="00C031F5">
            <w:pPr>
              <w:autoSpaceDE w:val="0"/>
              <w:autoSpaceDN w:val="0"/>
              <w:adjustRightInd w:val="0"/>
              <w:spacing w:after="0" w:line="240" w:lineRule="auto"/>
              <w:contextualSpacing/>
              <w:mirrorIndents/>
              <w:rPr>
                <w:sz w:val="16"/>
                <w:szCs w:val="16"/>
                <w:lang w:eastAsia="en-US"/>
              </w:rPr>
            </w:pPr>
            <w:r>
              <w:rPr>
                <w:sz w:val="16"/>
                <w:szCs w:val="16"/>
                <w:lang w:eastAsia="en-US"/>
              </w:rPr>
              <w:t>C</w:t>
            </w:r>
            <w:r w:rsidR="00907F18" w:rsidRPr="00907F18">
              <w:rPr>
                <w:sz w:val="16"/>
                <w:szCs w:val="16"/>
                <w:lang w:eastAsia="en-US"/>
              </w:rPr>
              <w:t>od? not specified</w:t>
            </w:r>
          </w:p>
        </w:tc>
        <w:tc>
          <w:tcPr>
            <w:tcW w:w="1134" w:type="dxa"/>
          </w:tcPr>
          <w:p w:rsidR="00907F18" w:rsidRPr="00907F18" w:rsidRDefault="00C031F5" w:rsidP="00C031F5">
            <w:pPr>
              <w:autoSpaceDE w:val="0"/>
              <w:autoSpaceDN w:val="0"/>
              <w:adjustRightInd w:val="0"/>
              <w:spacing w:after="0" w:line="240" w:lineRule="auto"/>
              <w:contextualSpacing/>
              <w:mirrorIndents/>
              <w:jc w:val="right"/>
              <w:rPr>
                <w:sz w:val="16"/>
                <w:szCs w:val="16"/>
                <w:lang w:eastAsia="en-US"/>
              </w:rPr>
            </w:pPr>
            <w:r>
              <w:rPr>
                <w:sz w:val="16"/>
                <w:szCs w:val="16"/>
                <w:lang w:eastAsia="en-US"/>
              </w:rPr>
              <w:t>0.139</w:t>
            </w:r>
          </w:p>
        </w:tc>
        <w:tc>
          <w:tcPr>
            <w:tcW w:w="1512"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birds/trip</w:t>
            </w:r>
          </w:p>
        </w:tc>
        <w:tc>
          <w:tcPr>
            <w:tcW w:w="1465"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ne</w:t>
            </w:r>
          </w:p>
        </w:tc>
        <w:tc>
          <w:tcPr>
            <w:tcW w:w="2977"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Annual bycatch estimate only provided for the whole Norwegian coast</w:t>
            </w:r>
          </w:p>
        </w:tc>
      </w:tr>
      <w:tr w:rsidR="00907F18" w:rsidTr="00C031F5">
        <w:tc>
          <w:tcPr>
            <w:tcW w:w="456" w:type="dxa"/>
          </w:tcPr>
          <w:p w:rsidR="00907F18" w:rsidRPr="00907F18" w:rsidRDefault="00907F18" w:rsidP="00C031F5">
            <w:pPr>
              <w:autoSpaceDE w:val="0"/>
              <w:autoSpaceDN w:val="0"/>
              <w:adjustRightInd w:val="0"/>
              <w:spacing w:after="0" w:line="240" w:lineRule="auto"/>
              <w:contextualSpacing/>
              <w:mirrorIndents/>
              <w:jc w:val="right"/>
              <w:rPr>
                <w:sz w:val="16"/>
                <w:szCs w:val="16"/>
                <w:lang w:eastAsia="en-US"/>
              </w:rPr>
            </w:pPr>
            <w:r w:rsidRPr="00907F18">
              <w:rPr>
                <w:sz w:val="16"/>
                <w:szCs w:val="16"/>
                <w:lang w:eastAsia="en-US"/>
              </w:rPr>
              <w:t>5</w:t>
            </w:r>
          </w:p>
        </w:tc>
        <w:tc>
          <w:tcPr>
            <w:tcW w:w="708" w:type="dxa"/>
          </w:tcPr>
          <w:p w:rsidR="00907F18" w:rsidRPr="00907F18" w:rsidRDefault="00907F18" w:rsidP="00C031F5">
            <w:pPr>
              <w:autoSpaceDE w:val="0"/>
              <w:autoSpaceDN w:val="0"/>
              <w:adjustRightInd w:val="0"/>
              <w:spacing w:after="0" w:line="240" w:lineRule="auto"/>
              <w:contextualSpacing/>
              <w:mirrorIndents/>
              <w:jc w:val="right"/>
              <w:rPr>
                <w:sz w:val="16"/>
                <w:szCs w:val="16"/>
                <w:lang w:eastAsia="en-US"/>
              </w:rPr>
            </w:pPr>
            <w:r w:rsidRPr="00907F18">
              <w:rPr>
                <w:sz w:val="16"/>
                <w:szCs w:val="16"/>
                <w:lang w:eastAsia="en-US"/>
              </w:rPr>
              <w:t>3</w:t>
            </w:r>
          </w:p>
        </w:tc>
        <w:tc>
          <w:tcPr>
            <w:tcW w:w="993"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2009</w:t>
            </w:r>
          </w:p>
        </w:tc>
        <w:tc>
          <w:tcPr>
            <w:tcW w:w="1984"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Sampling areas 3 4 5</w:t>
            </w:r>
          </w:p>
        </w:tc>
        <w:tc>
          <w:tcPr>
            <w:tcW w:w="1276"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Longline</w:t>
            </w:r>
          </w:p>
        </w:tc>
        <w:tc>
          <w:tcPr>
            <w:tcW w:w="1417"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Halibut</w:t>
            </w:r>
          </w:p>
        </w:tc>
        <w:tc>
          <w:tcPr>
            <w:tcW w:w="1134" w:type="dxa"/>
          </w:tcPr>
          <w:p w:rsidR="00907F18" w:rsidRPr="00907F18" w:rsidRDefault="00907F18" w:rsidP="00C031F5">
            <w:pPr>
              <w:autoSpaceDE w:val="0"/>
              <w:autoSpaceDN w:val="0"/>
              <w:adjustRightInd w:val="0"/>
              <w:spacing w:after="0" w:line="240" w:lineRule="auto"/>
              <w:contextualSpacing/>
              <w:mirrorIndents/>
              <w:jc w:val="right"/>
              <w:rPr>
                <w:sz w:val="16"/>
                <w:szCs w:val="16"/>
                <w:lang w:eastAsia="en-US"/>
              </w:rPr>
            </w:pPr>
            <w:r w:rsidRPr="00907F18">
              <w:rPr>
                <w:sz w:val="16"/>
                <w:szCs w:val="16"/>
                <w:lang w:eastAsia="en-US"/>
              </w:rPr>
              <w:t>1.9</w:t>
            </w:r>
            <w:r w:rsidR="00C031F5">
              <w:rPr>
                <w:sz w:val="16"/>
                <w:szCs w:val="16"/>
                <w:lang w:eastAsia="en-US"/>
              </w:rPr>
              <w:t>00</w:t>
            </w:r>
          </w:p>
        </w:tc>
        <w:tc>
          <w:tcPr>
            <w:tcW w:w="1512"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birds/trip</w:t>
            </w:r>
          </w:p>
        </w:tc>
        <w:tc>
          <w:tcPr>
            <w:tcW w:w="1465" w:type="dxa"/>
          </w:tcPr>
          <w:p w:rsidR="00907F18" w:rsidRPr="00907F18" w:rsidRDefault="00907F18" w:rsidP="00C031F5">
            <w:pPr>
              <w:autoSpaceDE w:val="0"/>
              <w:autoSpaceDN w:val="0"/>
              <w:adjustRightInd w:val="0"/>
              <w:spacing w:after="0" w:line="240" w:lineRule="auto"/>
              <w:contextualSpacing/>
              <w:mirrorIndents/>
              <w:jc w:val="right"/>
              <w:rPr>
                <w:sz w:val="16"/>
                <w:szCs w:val="16"/>
                <w:lang w:eastAsia="en-US"/>
              </w:rPr>
            </w:pPr>
            <w:r w:rsidRPr="00907F18">
              <w:rPr>
                <w:sz w:val="16"/>
                <w:szCs w:val="16"/>
                <w:lang w:eastAsia="en-US"/>
              </w:rPr>
              <w:t>1500</w:t>
            </w:r>
          </w:p>
        </w:tc>
        <w:tc>
          <w:tcPr>
            <w:tcW w:w="2977"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Small sample size</w:t>
            </w:r>
          </w:p>
        </w:tc>
      </w:tr>
      <w:tr w:rsidR="00907F18" w:rsidTr="00C031F5">
        <w:tc>
          <w:tcPr>
            <w:tcW w:w="456" w:type="dxa"/>
          </w:tcPr>
          <w:p w:rsidR="00907F18" w:rsidRPr="00907F18" w:rsidRDefault="00907F18" w:rsidP="00C031F5">
            <w:pPr>
              <w:autoSpaceDE w:val="0"/>
              <w:autoSpaceDN w:val="0"/>
              <w:adjustRightInd w:val="0"/>
              <w:spacing w:after="0" w:line="240" w:lineRule="auto"/>
              <w:contextualSpacing/>
              <w:mirrorIndents/>
              <w:jc w:val="right"/>
              <w:rPr>
                <w:sz w:val="16"/>
                <w:szCs w:val="16"/>
                <w:lang w:eastAsia="en-US"/>
              </w:rPr>
            </w:pPr>
            <w:r w:rsidRPr="00907F18">
              <w:rPr>
                <w:sz w:val="16"/>
                <w:szCs w:val="16"/>
                <w:lang w:eastAsia="en-US"/>
              </w:rPr>
              <w:t>6</w:t>
            </w:r>
          </w:p>
        </w:tc>
        <w:tc>
          <w:tcPr>
            <w:tcW w:w="708" w:type="dxa"/>
          </w:tcPr>
          <w:p w:rsidR="00907F18" w:rsidRPr="00907F18" w:rsidRDefault="00907F18" w:rsidP="00C031F5">
            <w:pPr>
              <w:autoSpaceDE w:val="0"/>
              <w:autoSpaceDN w:val="0"/>
              <w:adjustRightInd w:val="0"/>
              <w:spacing w:after="0" w:line="240" w:lineRule="auto"/>
              <w:contextualSpacing/>
              <w:mirrorIndents/>
              <w:jc w:val="right"/>
              <w:rPr>
                <w:sz w:val="16"/>
                <w:szCs w:val="16"/>
                <w:lang w:eastAsia="en-US"/>
              </w:rPr>
            </w:pPr>
            <w:r w:rsidRPr="00907F18">
              <w:rPr>
                <w:sz w:val="16"/>
                <w:szCs w:val="16"/>
                <w:lang w:eastAsia="en-US"/>
              </w:rPr>
              <w:t>3</w:t>
            </w:r>
          </w:p>
        </w:tc>
        <w:tc>
          <w:tcPr>
            <w:tcW w:w="993"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2009</w:t>
            </w:r>
          </w:p>
        </w:tc>
        <w:tc>
          <w:tcPr>
            <w:tcW w:w="1984"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Sampling areas 3 4 5</w:t>
            </w:r>
          </w:p>
        </w:tc>
        <w:tc>
          <w:tcPr>
            <w:tcW w:w="1276"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Longline</w:t>
            </w:r>
          </w:p>
        </w:tc>
        <w:tc>
          <w:tcPr>
            <w:tcW w:w="1417" w:type="dxa"/>
          </w:tcPr>
          <w:p w:rsidR="00907F18" w:rsidRPr="00907F18" w:rsidRDefault="00C031F5" w:rsidP="00C031F5">
            <w:pPr>
              <w:autoSpaceDE w:val="0"/>
              <w:autoSpaceDN w:val="0"/>
              <w:adjustRightInd w:val="0"/>
              <w:spacing w:after="0" w:line="240" w:lineRule="auto"/>
              <w:contextualSpacing/>
              <w:mirrorIndents/>
              <w:rPr>
                <w:sz w:val="16"/>
                <w:szCs w:val="16"/>
                <w:lang w:eastAsia="en-US"/>
              </w:rPr>
            </w:pPr>
            <w:r>
              <w:rPr>
                <w:sz w:val="16"/>
                <w:szCs w:val="16"/>
                <w:lang w:eastAsia="en-US"/>
              </w:rPr>
              <w:t>C</w:t>
            </w:r>
            <w:r w:rsidR="00907F18" w:rsidRPr="00907F18">
              <w:rPr>
                <w:sz w:val="16"/>
                <w:szCs w:val="16"/>
                <w:lang w:eastAsia="en-US"/>
              </w:rPr>
              <w:t>od/haddock</w:t>
            </w:r>
          </w:p>
        </w:tc>
        <w:tc>
          <w:tcPr>
            <w:tcW w:w="1134" w:type="dxa"/>
          </w:tcPr>
          <w:p w:rsidR="00907F18" w:rsidRPr="00907F18" w:rsidRDefault="00907F18" w:rsidP="00C031F5">
            <w:pPr>
              <w:autoSpaceDE w:val="0"/>
              <w:autoSpaceDN w:val="0"/>
              <w:adjustRightInd w:val="0"/>
              <w:spacing w:after="0" w:line="240" w:lineRule="auto"/>
              <w:contextualSpacing/>
              <w:mirrorIndents/>
              <w:jc w:val="right"/>
              <w:rPr>
                <w:sz w:val="16"/>
                <w:szCs w:val="16"/>
                <w:lang w:eastAsia="en-US"/>
              </w:rPr>
            </w:pPr>
            <w:r w:rsidRPr="00907F18">
              <w:rPr>
                <w:sz w:val="16"/>
                <w:szCs w:val="16"/>
                <w:lang w:eastAsia="en-US"/>
              </w:rPr>
              <w:t>0.22</w:t>
            </w:r>
            <w:r w:rsidR="00C031F5">
              <w:rPr>
                <w:sz w:val="16"/>
                <w:szCs w:val="16"/>
                <w:lang w:eastAsia="en-US"/>
              </w:rPr>
              <w:t>0</w:t>
            </w:r>
          </w:p>
        </w:tc>
        <w:tc>
          <w:tcPr>
            <w:tcW w:w="1512"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birds/trip</w:t>
            </w:r>
          </w:p>
        </w:tc>
        <w:tc>
          <w:tcPr>
            <w:tcW w:w="1465" w:type="dxa"/>
          </w:tcPr>
          <w:p w:rsidR="00907F18" w:rsidRPr="00907F18" w:rsidRDefault="00907F18" w:rsidP="00C031F5">
            <w:pPr>
              <w:autoSpaceDE w:val="0"/>
              <w:autoSpaceDN w:val="0"/>
              <w:adjustRightInd w:val="0"/>
              <w:spacing w:after="0" w:line="240" w:lineRule="auto"/>
              <w:contextualSpacing/>
              <w:mirrorIndents/>
              <w:jc w:val="right"/>
              <w:rPr>
                <w:sz w:val="16"/>
                <w:szCs w:val="16"/>
                <w:lang w:eastAsia="en-US"/>
              </w:rPr>
            </w:pPr>
            <w:r w:rsidRPr="00907F18">
              <w:rPr>
                <w:sz w:val="16"/>
                <w:szCs w:val="16"/>
                <w:lang w:eastAsia="en-US"/>
              </w:rPr>
              <w:t>3300</w:t>
            </w:r>
          </w:p>
        </w:tc>
        <w:tc>
          <w:tcPr>
            <w:tcW w:w="2977"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Robust annual estimate</w:t>
            </w:r>
          </w:p>
        </w:tc>
      </w:tr>
      <w:tr w:rsidR="00907F18" w:rsidTr="00C031F5">
        <w:tc>
          <w:tcPr>
            <w:tcW w:w="456" w:type="dxa"/>
          </w:tcPr>
          <w:p w:rsidR="00907F18" w:rsidRPr="00907F18" w:rsidRDefault="00907F18" w:rsidP="00C031F5">
            <w:pPr>
              <w:autoSpaceDE w:val="0"/>
              <w:autoSpaceDN w:val="0"/>
              <w:adjustRightInd w:val="0"/>
              <w:spacing w:after="0" w:line="240" w:lineRule="auto"/>
              <w:contextualSpacing/>
              <w:mirrorIndents/>
              <w:jc w:val="right"/>
              <w:rPr>
                <w:sz w:val="16"/>
                <w:szCs w:val="16"/>
                <w:lang w:eastAsia="en-US"/>
              </w:rPr>
            </w:pPr>
            <w:r w:rsidRPr="00907F18">
              <w:rPr>
                <w:sz w:val="16"/>
                <w:szCs w:val="16"/>
                <w:lang w:eastAsia="en-US"/>
              </w:rPr>
              <w:t>7</w:t>
            </w:r>
          </w:p>
        </w:tc>
        <w:tc>
          <w:tcPr>
            <w:tcW w:w="708" w:type="dxa"/>
          </w:tcPr>
          <w:p w:rsidR="00907F18" w:rsidRPr="00907F18" w:rsidRDefault="00907F18" w:rsidP="00C031F5">
            <w:pPr>
              <w:autoSpaceDE w:val="0"/>
              <w:autoSpaceDN w:val="0"/>
              <w:adjustRightInd w:val="0"/>
              <w:spacing w:after="0" w:line="240" w:lineRule="auto"/>
              <w:contextualSpacing/>
              <w:mirrorIndents/>
              <w:jc w:val="right"/>
              <w:rPr>
                <w:sz w:val="16"/>
                <w:szCs w:val="16"/>
                <w:lang w:eastAsia="en-US"/>
              </w:rPr>
            </w:pPr>
            <w:r w:rsidRPr="00907F18">
              <w:rPr>
                <w:sz w:val="16"/>
                <w:szCs w:val="16"/>
                <w:lang w:eastAsia="en-US"/>
              </w:rPr>
              <w:t>3</w:t>
            </w:r>
          </w:p>
        </w:tc>
        <w:tc>
          <w:tcPr>
            <w:tcW w:w="993"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2009</w:t>
            </w:r>
          </w:p>
        </w:tc>
        <w:tc>
          <w:tcPr>
            <w:tcW w:w="1984"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Sampling areas 3 4 5</w:t>
            </w:r>
          </w:p>
        </w:tc>
        <w:tc>
          <w:tcPr>
            <w:tcW w:w="1276"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Gillnet</w:t>
            </w:r>
          </w:p>
        </w:tc>
        <w:tc>
          <w:tcPr>
            <w:tcW w:w="1417"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Lumpfish</w:t>
            </w:r>
          </w:p>
        </w:tc>
        <w:tc>
          <w:tcPr>
            <w:tcW w:w="1134" w:type="dxa"/>
          </w:tcPr>
          <w:p w:rsidR="00907F18" w:rsidRPr="00907F18" w:rsidRDefault="00907F18" w:rsidP="00C031F5">
            <w:pPr>
              <w:autoSpaceDE w:val="0"/>
              <w:autoSpaceDN w:val="0"/>
              <w:adjustRightInd w:val="0"/>
              <w:spacing w:after="0" w:line="240" w:lineRule="auto"/>
              <w:contextualSpacing/>
              <w:mirrorIndents/>
              <w:jc w:val="right"/>
              <w:rPr>
                <w:sz w:val="16"/>
                <w:szCs w:val="16"/>
                <w:lang w:eastAsia="en-US"/>
              </w:rPr>
            </w:pPr>
            <w:r w:rsidRPr="00907F18">
              <w:rPr>
                <w:sz w:val="16"/>
                <w:szCs w:val="16"/>
                <w:lang w:eastAsia="en-US"/>
              </w:rPr>
              <w:t>1.6</w:t>
            </w:r>
            <w:r w:rsidR="00C031F5">
              <w:rPr>
                <w:sz w:val="16"/>
                <w:szCs w:val="16"/>
                <w:lang w:eastAsia="en-US"/>
              </w:rPr>
              <w:t>00</w:t>
            </w:r>
          </w:p>
        </w:tc>
        <w:tc>
          <w:tcPr>
            <w:tcW w:w="1512"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birds/trip</w:t>
            </w:r>
          </w:p>
        </w:tc>
        <w:tc>
          <w:tcPr>
            <w:tcW w:w="1465" w:type="dxa"/>
          </w:tcPr>
          <w:p w:rsidR="00907F18" w:rsidRPr="00907F18" w:rsidRDefault="00907F18" w:rsidP="00C031F5">
            <w:pPr>
              <w:autoSpaceDE w:val="0"/>
              <w:autoSpaceDN w:val="0"/>
              <w:adjustRightInd w:val="0"/>
              <w:spacing w:after="0" w:line="240" w:lineRule="auto"/>
              <w:contextualSpacing/>
              <w:mirrorIndents/>
              <w:jc w:val="right"/>
              <w:rPr>
                <w:sz w:val="16"/>
                <w:szCs w:val="16"/>
                <w:lang w:eastAsia="en-US"/>
              </w:rPr>
            </w:pPr>
            <w:r w:rsidRPr="00907F18">
              <w:rPr>
                <w:sz w:val="16"/>
                <w:szCs w:val="16"/>
                <w:lang w:eastAsia="en-US"/>
              </w:rPr>
              <w:t>3200</w:t>
            </w:r>
          </w:p>
        </w:tc>
        <w:tc>
          <w:tcPr>
            <w:tcW w:w="2977"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Robust annual estimate</w:t>
            </w:r>
          </w:p>
        </w:tc>
      </w:tr>
      <w:tr w:rsidR="00907F18" w:rsidTr="00C031F5">
        <w:tc>
          <w:tcPr>
            <w:tcW w:w="456" w:type="dxa"/>
          </w:tcPr>
          <w:p w:rsidR="00907F18" w:rsidRPr="00907F18" w:rsidRDefault="00907F18" w:rsidP="00C031F5">
            <w:pPr>
              <w:autoSpaceDE w:val="0"/>
              <w:autoSpaceDN w:val="0"/>
              <w:adjustRightInd w:val="0"/>
              <w:spacing w:after="0" w:line="240" w:lineRule="auto"/>
              <w:contextualSpacing/>
              <w:mirrorIndents/>
              <w:jc w:val="right"/>
              <w:rPr>
                <w:sz w:val="16"/>
                <w:szCs w:val="16"/>
                <w:lang w:eastAsia="en-US"/>
              </w:rPr>
            </w:pPr>
            <w:r w:rsidRPr="00907F18">
              <w:rPr>
                <w:sz w:val="16"/>
                <w:szCs w:val="16"/>
                <w:lang w:eastAsia="en-US"/>
              </w:rPr>
              <w:t>8</w:t>
            </w:r>
          </w:p>
        </w:tc>
        <w:tc>
          <w:tcPr>
            <w:tcW w:w="708" w:type="dxa"/>
          </w:tcPr>
          <w:p w:rsidR="00907F18" w:rsidRPr="00907F18" w:rsidRDefault="00907F18" w:rsidP="00C031F5">
            <w:pPr>
              <w:autoSpaceDE w:val="0"/>
              <w:autoSpaceDN w:val="0"/>
              <w:adjustRightInd w:val="0"/>
              <w:spacing w:after="0" w:line="240" w:lineRule="auto"/>
              <w:contextualSpacing/>
              <w:mirrorIndents/>
              <w:jc w:val="right"/>
              <w:rPr>
                <w:sz w:val="16"/>
                <w:szCs w:val="16"/>
                <w:lang w:eastAsia="en-US"/>
              </w:rPr>
            </w:pPr>
            <w:r w:rsidRPr="00907F18">
              <w:rPr>
                <w:sz w:val="16"/>
                <w:szCs w:val="16"/>
                <w:lang w:eastAsia="en-US"/>
              </w:rPr>
              <w:t>3</w:t>
            </w:r>
          </w:p>
        </w:tc>
        <w:tc>
          <w:tcPr>
            <w:tcW w:w="993"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2009</w:t>
            </w:r>
          </w:p>
        </w:tc>
        <w:tc>
          <w:tcPr>
            <w:tcW w:w="1984"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Sampling areas 3 4 5</w:t>
            </w:r>
          </w:p>
        </w:tc>
        <w:tc>
          <w:tcPr>
            <w:tcW w:w="1276"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Gillnet</w:t>
            </w:r>
          </w:p>
        </w:tc>
        <w:tc>
          <w:tcPr>
            <w:tcW w:w="1417" w:type="dxa"/>
          </w:tcPr>
          <w:p w:rsidR="00907F18" w:rsidRPr="00907F18" w:rsidRDefault="00C031F5" w:rsidP="00C031F5">
            <w:pPr>
              <w:autoSpaceDE w:val="0"/>
              <w:autoSpaceDN w:val="0"/>
              <w:adjustRightInd w:val="0"/>
              <w:spacing w:after="0" w:line="240" w:lineRule="auto"/>
              <w:contextualSpacing/>
              <w:mirrorIndents/>
              <w:rPr>
                <w:sz w:val="16"/>
                <w:szCs w:val="16"/>
                <w:lang w:eastAsia="en-US"/>
              </w:rPr>
            </w:pPr>
            <w:r>
              <w:rPr>
                <w:sz w:val="16"/>
                <w:szCs w:val="16"/>
                <w:lang w:eastAsia="en-US"/>
              </w:rPr>
              <w:t>C</w:t>
            </w:r>
            <w:r w:rsidR="00907F18" w:rsidRPr="00907F18">
              <w:rPr>
                <w:sz w:val="16"/>
                <w:szCs w:val="16"/>
                <w:lang w:eastAsia="en-US"/>
              </w:rPr>
              <w:t>od</w:t>
            </w:r>
          </w:p>
        </w:tc>
        <w:tc>
          <w:tcPr>
            <w:tcW w:w="1134" w:type="dxa"/>
          </w:tcPr>
          <w:p w:rsidR="00907F18" w:rsidRPr="00907F18" w:rsidRDefault="00907F18" w:rsidP="00C031F5">
            <w:pPr>
              <w:autoSpaceDE w:val="0"/>
              <w:autoSpaceDN w:val="0"/>
              <w:adjustRightInd w:val="0"/>
              <w:spacing w:after="0" w:line="240" w:lineRule="auto"/>
              <w:contextualSpacing/>
              <w:mirrorIndents/>
              <w:jc w:val="right"/>
              <w:rPr>
                <w:sz w:val="16"/>
                <w:szCs w:val="16"/>
                <w:lang w:eastAsia="en-US"/>
              </w:rPr>
            </w:pPr>
            <w:r w:rsidRPr="00907F18">
              <w:rPr>
                <w:sz w:val="16"/>
                <w:szCs w:val="16"/>
                <w:lang w:eastAsia="en-US"/>
              </w:rPr>
              <w:t>0.1</w:t>
            </w:r>
            <w:r w:rsidR="00C031F5">
              <w:rPr>
                <w:sz w:val="16"/>
                <w:szCs w:val="16"/>
                <w:lang w:eastAsia="en-US"/>
              </w:rPr>
              <w:t>00</w:t>
            </w:r>
          </w:p>
        </w:tc>
        <w:tc>
          <w:tcPr>
            <w:tcW w:w="1512"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birds/trip</w:t>
            </w:r>
          </w:p>
        </w:tc>
        <w:tc>
          <w:tcPr>
            <w:tcW w:w="1465" w:type="dxa"/>
          </w:tcPr>
          <w:p w:rsidR="00907F18" w:rsidRPr="00907F18" w:rsidRDefault="00907F18" w:rsidP="00C031F5">
            <w:pPr>
              <w:autoSpaceDE w:val="0"/>
              <w:autoSpaceDN w:val="0"/>
              <w:adjustRightInd w:val="0"/>
              <w:spacing w:after="0" w:line="240" w:lineRule="auto"/>
              <w:contextualSpacing/>
              <w:mirrorIndents/>
              <w:jc w:val="right"/>
              <w:rPr>
                <w:sz w:val="16"/>
                <w:szCs w:val="16"/>
                <w:lang w:eastAsia="en-US"/>
              </w:rPr>
            </w:pPr>
            <w:r w:rsidRPr="00907F18">
              <w:rPr>
                <w:sz w:val="16"/>
                <w:szCs w:val="16"/>
                <w:lang w:eastAsia="en-US"/>
              </w:rPr>
              <w:t>3300</w:t>
            </w:r>
          </w:p>
        </w:tc>
        <w:tc>
          <w:tcPr>
            <w:tcW w:w="2977"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Robust annual estimate</w:t>
            </w:r>
          </w:p>
        </w:tc>
      </w:tr>
      <w:tr w:rsidR="00907F18" w:rsidTr="00C031F5">
        <w:tc>
          <w:tcPr>
            <w:tcW w:w="456" w:type="dxa"/>
          </w:tcPr>
          <w:p w:rsidR="00907F18" w:rsidRPr="00907F18" w:rsidRDefault="00907F18" w:rsidP="00C031F5">
            <w:pPr>
              <w:autoSpaceDE w:val="0"/>
              <w:autoSpaceDN w:val="0"/>
              <w:adjustRightInd w:val="0"/>
              <w:spacing w:after="0" w:line="240" w:lineRule="auto"/>
              <w:contextualSpacing/>
              <w:mirrorIndents/>
              <w:jc w:val="right"/>
              <w:rPr>
                <w:sz w:val="16"/>
                <w:szCs w:val="16"/>
                <w:lang w:eastAsia="en-US"/>
              </w:rPr>
            </w:pPr>
            <w:r w:rsidRPr="00907F18">
              <w:rPr>
                <w:sz w:val="16"/>
                <w:szCs w:val="16"/>
                <w:lang w:eastAsia="en-US"/>
              </w:rPr>
              <w:t>9</w:t>
            </w:r>
          </w:p>
        </w:tc>
        <w:tc>
          <w:tcPr>
            <w:tcW w:w="708" w:type="dxa"/>
          </w:tcPr>
          <w:p w:rsidR="00907F18" w:rsidRPr="00907F18" w:rsidRDefault="00907F18" w:rsidP="00C031F5">
            <w:pPr>
              <w:autoSpaceDE w:val="0"/>
              <w:autoSpaceDN w:val="0"/>
              <w:adjustRightInd w:val="0"/>
              <w:spacing w:after="0" w:line="240" w:lineRule="auto"/>
              <w:contextualSpacing/>
              <w:mirrorIndents/>
              <w:jc w:val="right"/>
              <w:rPr>
                <w:sz w:val="16"/>
                <w:szCs w:val="16"/>
                <w:lang w:eastAsia="en-US"/>
              </w:rPr>
            </w:pPr>
            <w:r w:rsidRPr="00907F18">
              <w:rPr>
                <w:sz w:val="16"/>
                <w:szCs w:val="16"/>
                <w:lang w:eastAsia="en-US"/>
              </w:rPr>
              <w:t>4</w:t>
            </w:r>
          </w:p>
        </w:tc>
        <w:tc>
          <w:tcPr>
            <w:tcW w:w="993"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2012-2014</w:t>
            </w:r>
          </w:p>
        </w:tc>
        <w:tc>
          <w:tcPr>
            <w:tcW w:w="1984"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Sampling areas 3 4 5</w:t>
            </w:r>
          </w:p>
        </w:tc>
        <w:tc>
          <w:tcPr>
            <w:tcW w:w="1276"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Longline</w:t>
            </w:r>
          </w:p>
        </w:tc>
        <w:tc>
          <w:tcPr>
            <w:tcW w:w="1417" w:type="dxa"/>
          </w:tcPr>
          <w:p w:rsidR="00907F18" w:rsidRPr="00907F18" w:rsidRDefault="00C031F5" w:rsidP="00C031F5">
            <w:pPr>
              <w:autoSpaceDE w:val="0"/>
              <w:autoSpaceDN w:val="0"/>
              <w:adjustRightInd w:val="0"/>
              <w:spacing w:after="0" w:line="240" w:lineRule="auto"/>
              <w:contextualSpacing/>
              <w:mirrorIndents/>
              <w:rPr>
                <w:sz w:val="16"/>
                <w:szCs w:val="16"/>
                <w:lang w:eastAsia="en-US"/>
              </w:rPr>
            </w:pPr>
            <w:r>
              <w:rPr>
                <w:sz w:val="16"/>
                <w:szCs w:val="16"/>
                <w:lang w:eastAsia="en-US"/>
              </w:rPr>
              <w:t>Greenland h</w:t>
            </w:r>
            <w:r w:rsidR="00907F18" w:rsidRPr="00907F18">
              <w:rPr>
                <w:sz w:val="16"/>
                <w:szCs w:val="16"/>
                <w:lang w:eastAsia="en-US"/>
              </w:rPr>
              <w:t>alibut</w:t>
            </w:r>
          </w:p>
        </w:tc>
        <w:tc>
          <w:tcPr>
            <w:tcW w:w="1134" w:type="dxa"/>
          </w:tcPr>
          <w:p w:rsidR="00907F18" w:rsidRPr="00907F18" w:rsidRDefault="00907F18" w:rsidP="00C031F5">
            <w:pPr>
              <w:autoSpaceDE w:val="0"/>
              <w:autoSpaceDN w:val="0"/>
              <w:adjustRightInd w:val="0"/>
              <w:spacing w:after="0" w:line="240" w:lineRule="auto"/>
              <w:contextualSpacing/>
              <w:mirrorIndents/>
              <w:jc w:val="right"/>
              <w:rPr>
                <w:sz w:val="16"/>
                <w:szCs w:val="16"/>
                <w:lang w:eastAsia="en-US"/>
              </w:rPr>
            </w:pPr>
            <w:r w:rsidRPr="00907F18">
              <w:rPr>
                <w:sz w:val="16"/>
                <w:szCs w:val="16"/>
                <w:lang w:eastAsia="en-US"/>
              </w:rPr>
              <w:t>0.24</w:t>
            </w:r>
            <w:r w:rsidR="00C031F5">
              <w:rPr>
                <w:sz w:val="16"/>
                <w:szCs w:val="16"/>
                <w:lang w:eastAsia="en-US"/>
              </w:rPr>
              <w:t>0</w:t>
            </w:r>
          </w:p>
        </w:tc>
        <w:tc>
          <w:tcPr>
            <w:tcW w:w="1512"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birds/trip</w:t>
            </w:r>
          </w:p>
        </w:tc>
        <w:tc>
          <w:tcPr>
            <w:tcW w:w="1465" w:type="dxa"/>
          </w:tcPr>
          <w:p w:rsidR="00907F18" w:rsidRPr="00907F18" w:rsidRDefault="00907F18" w:rsidP="00C031F5">
            <w:pPr>
              <w:autoSpaceDE w:val="0"/>
              <w:autoSpaceDN w:val="0"/>
              <w:adjustRightInd w:val="0"/>
              <w:spacing w:after="0" w:line="240" w:lineRule="auto"/>
              <w:contextualSpacing/>
              <w:mirrorIndents/>
              <w:jc w:val="right"/>
              <w:rPr>
                <w:sz w:val="16"/>
                <w:szCs w:val="16"/>
                <w:lang w:eastAsia="en-US"/>
              </w:rPr>
            </w:pPr>
            <w:r w:rsidRPr="00907F18">
              <w:rPr>
                <w:sz w:val="16"/>
                <w:szCs w:val="16"/>
                <w:lang w:eastAsia="en-US"/>
              </w:rPr>
              <w:t>153</w:t>
            </w:r>
          </w:p>
        </w:tc>
        <w:tc>
          <w:tcPr>
            <w:tcW w:w="2977"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Robust annual estimate</w:t>
            </w:r>
          </w:p>
        </w:tc>
      </w:tr>
    </w:tbl>
    <w:p w:rsidR="00907F18" w:rsidRDefault="00907F18" w:rsidP="00C031F5">
      <w:pPr>
        <w:spacing w:after="0" w:line="240" w:lineRule="auto"/>
        <w:contextualSpacing/>
        <w:mirrorIndents/>
      </w:pPr>
    </w:p>
    <w:p w:rsidR="00273230" w:rsidRDefault="00273230" w:rsidP="00C031F5">
      <w:pPr>
        <w:spacing w:after="0" w:line="240" w:lineRule="auto"/>
        <w:contextualSpacing/>
        <w:mirrorIndents/>
      </w:pPr>
    </w:p>
    <w:p w:rsidR="00273230" w:rsidRDefault="00273230" w:rsidP="00273230">
      <w:pPr>
        <w:autoSpaceDE w:val="0"/>
        <w:autoSpaceDN w:val="0"/>
        <w:adjustRightInd w:val="0"/>
        <w:spacing w:after="0" w:line="240" w:lineRule="auto"/>
        <w:rPr>
          <w:color w:val="auto"/>
          <w:szCs w:val="20"/>
          <w:lang w:eastAsia="en-US"/>
        </w:rPr>
      </w:pPr>
      <w:r>
        <w:rPr>
          <w:color w:val="auto"/>
          <w:szCs w:val="20"/>
          <w:lang w:eastAsia="en-US"/>
        </w:rPr>
        <w:t xml:space="preserve">Table 2. </w:t>
      </w:r>
      <w:proofErr w:type="gramStart"/>
      <w:r>
        <w:rPr>
          <w:color w:val="auto"/>
          <w:szCs w:val="20"/>
          <w:lang w:eastAsia="en-US"/>
        </w:rPr>
        <w:t xml:space="preserve">Fleet annual bycatch (numbers of </w:t>
      </w:r>
      <w:proofErr w:type="spellStart"/>
      <w:r>
        <w:rPr>
          <w:color w:val="auto"/>
          <w:szCs w:val="20"/>
          <w:lang w:eastAsia="en-US"/>
        </w:rPr>
        <w:t>individiuals</w:t>
      </w:r>
      <w:proofErr w:type="spellEnd"/>
      <w:r>
        <w:rPr>
          <w:color w:val="auto"/>
          <w:szCs w:val="20"/>
          <w:lang w:eastAsia="en-US"/>
        </w:rPr>
        <w:t>) for coastal fisheries in northern Norway (</w:t>
      </w:r>
      <w:r w:rsidR="005D4BFC">
        <w:rPr>
          <w:color w:val="auto"/>
          <w:szCs w:val="20"/>
          <w:lang w:eastAsia="en-US"/>
        </w:rPr>
        <w:t>areas 3, 4 and 5</w:t>
      </w:r>
      <w:r>
        <w:rPr>
          <w:color w:val="auto"/>
          <w:szCs w:val="20"/>
          <w:lang w:eastAsia="en-US"/>
        </w:rPr>
        <w:t>), extracted from Table 1.</w:t>
      </w:r>
      <w:proofErr w:type="gramEnd"/>
    </w:p>
    <w:tbl>
      <w:tblPr>
        <w:tblStyle w:val="TableGrid"/>
        <w:tblW w:w="0" w:type="auto"/>
        <w:tblInd w:w="108" w:type="dxa"/>
        <w:tblLook w:val="04A0" w:firstRow="1" w:lastRow="0" w:firstColumn="1" w:lastColumn="0" w:noHBand="0" w:noVBand="1"/>
      </w:tblPr>
      <w:tblGrid>
        <w:gridCol w:w="3828"/>
        <w:gridCol w:w="2268"/>
      </w:tblGrid>
      <w:tr w:rsidR="00273230" w:rsidTr="007A6048">
        <w:tc>
          <w:tcPr>
            <w:tcW w:w="3828" w:type="dxa"/>
          </w:tcPr>
          <w:p w:rsidR="00273230" w:rsidRPr="00A22D6E" w:rsidRDefault="00273230" w:rsidP="007A6048">
            <w:pPr>
              <w:autoSpaceDE w:val="0"/>
              <w:autoSpaceDN w:val="0"/>
              <w:adjustRightInd w:val="0"/>
              <w:rPr>
                <w:color w:val="auto"/>
                <w:sz w:val="18"/>
                <w:szCs w:val="18"/>
                <w:lang w:eastAsia="en-US"/>
              </w:rPr>
            </w:pPr>
            <w:r w:rsidRPr="00A22D6E">
              <w:rPr>
                <w:color w:val="auto"/>
                <w:sz w:val="18"/>
                <w:szCs w:val="18"/>
                <w:lang w:eastAsia="en-US"/>
              </w:rPr>
              <w:t>Fishery</w:t>
            </w:r>
          </w:p>
        </w:tc>
        <w:tc>
          <w:tcPr>
            <w:tcW w:w="2268" w:type="dxa"/>
          </w:tcPr>
          <w:p w:rsidR="00273230" w:rsidRPr="00A22D6E" w:rsidRDefault="00273230" w:rsidP="007A6048">
            <w:pPr>
              <w:autoSpaceDE w:val="0"/>
              <w:autoSpaceDN w:val="0"/>
              <w:adjustRightInd w:val="0"/>
              <w:rPr>
                <w:color w:val="auto"/>
                <w:sz w:val="18"/>
                <w:szCs w:val="18"/>
                <w:lang w:eastAsia="en-US"/>
              </w:rPr>
            </w:pPr>
            <w:r w:rsidRPr="00A22D6E">
              <w:rPr>
                <w:color w:val="auto"/>
                <w:sz w:val="18"/>
                <w:szCs w:val="18"/>
                <w:lang w:eastAsia="en-US"/>
              </w:rPr>
              <w:t xml:space="preserve">Annual seabird bycatch </w:t>
            </w:r>
          </w:p>
        </w:tc>
      </w:tr>
      <w:tr w:rsidR="00273230" w:rsidTr="007A6048">
        <w:tc>
          <w:tcPr>
            <w:tcW w:w="3828" w:type="dxa"/>
          </w:tcPr>
          <w:p w:rsidR="00273230" w:rsidRPr="00A22D6E" w:rsidRDefault="00273230" w:rsidP="007A6048">
            <w:pPr>
              <w:autoSpaceDE w:val="0"/>
              <w:autoSpaceDN w:val="0"/>
              <w:adjustRightInd w:val="0"/>
              <w:rPr>
                <w:color w:val="auto"/>
                <w:sz w:val="18"/>
                <w:szCs w:val="18"/>
                <w:lang w:eastAsia="en-US"/>
              </w:rPr>
            </w:pPr>
            <w:r w:rsidRPr="00A22D6E">
              <w:rPr>
                <w:color w:val="auto"/>
                <w:sz w:val="18"/>
                <w:szCs w:val="18"/>
                <w:lang w:eastAsia="en-US"/>
              </w:rPr>
              <w:t xml:space="preserve">Gillnet </w:t>
            </w:r>
            <w:r>
              <w:rPr>
                <w:color w:val="auto"/>
                <w:sz w:val="18"/>
                <w:szCs w:val="18"/>
                <w:lang w:eastAsia="en-US"/>
              </w:rPr>
              <w:t>fishery for cod</w:t>
            </w:r>
          </w:p>
        </w:tc>
        <w:tc>
          <w:tcPr>
            <w:tcW w:w="2268" w:type="dxa"/>
          </w:tcPr>
          <w:p w:rsidR="00273230" w:rsidRPr="00A22D6E" w:rsidRDefault="00273230" w:rsidP="007A6048">
            <w:pPr>
              <w:autoSpaceDE w:val="0"/>
              <w:autoSpaceDN w:val="0"/>
              <w:adjustRightInd w:val="0"/>
              <w:rPr>
                <w:color w:val="auto"/>
                <w:sz w:val="18"/>
                <w:szCs w:val="18"/>
                <w:lang w:eastAsia="en-US"/>
              </w:rPr>
            </w:pPr>
            <w:r w:rsidRPr="00A22D6E">
              <w:rPr>
                <w:color w:val="auto"/>
                <w:sz w:val="18"/>
                <w:szCs w:val="18"/>
                <w:lang w:eastAsia="en-US"/>
              </w:rPr>
              <w:t>3,300</w:t>
            </w:r>
          </w:p>
        </w:tc>
      </w:tr>
      <w:tr w:rsidR="00273230" w:rsidTr="007A6048">
        <w:tc>
          <w:tcPr>
            <w:tcW w:w="3828" w:type="dxa"/>
          </w:tcPr>
          <w:p w:rsidR="00273230" w:rsidRPr="00A22D6E" w:rsidRDefault="00273230" w:rsidP="007A6048">
            <w:pPr>
              <w:autoSpaceDE w:val="0"/>
              <w:autoSpaceDN w:val="0"/>
              <w:adjustRightInd w:val="0"/>
              <w:rPr>
                <w:color w:val="auto"/>
                <w:sz w:val="18"/>
                <w:szCs w:val="18"/>
                <w:lang w:eastAsia="en-US"/>
              </w:rPr>
            </w:pPr>
            <w:r>
              <w:rPr>
                <w:color w:val="auto"/>
                <w:sz w:val="18"/>
                <w:szCs w:val="18"/>
                <w:lang w:eastAsia="en-US"/>
              </w:rPr>
              <w:t xml:space="preserve">Gillnet fishery for </w:t>
            </w:r>
            <w:proofErr w:type="spellStart"/>
            <w:r>
              <w:rPr>
                <w:color w:val="auto"/>
                <w:sz w:val="18"/>
                <w:szCs w:val="18"/>
                <w:lang w:eastAsia="en-US"/>
              </w:rPr>
              <w:t>lumpsucker</w:t>
            </w:r>
            <w:proofErr w:type="spellEnd"/>
          </w:p>
        </w:tc>
        <w:tc>
          <w:tcPr>
            <w:tcW w:w="2268" w:type="dxa"/>
          </w:tcPr>
          <w:p w:rsidR="00273230" w:rsidRPr="00A22D6E" w:rsidRDefault="00273230" w:rsidP="007A6048">
            <w:pPr>
              <w:autoSpaceDE w:val="0"/>
              <w:autoSpaceDN w:val="0"/>
              <w:adjustRightInd w:val="0"/>
              <w:rPr>
                <w:color w:val="auto"/>
                <w:sz w:val="18"/>
                <w:szCs w:val="18"/>
                <w:lang w:eastAsia="en-US"/>
              </w:rPr>
            </w:pPr>
            <w:r w:rsidRPr="00A22D6E">
              <w:rPr>
                <w:color w:val="auto"/>
                <w:sz w:val="18"/>
                <w:szCs w:val="18"/>
                <w:lang w:eastAsia="en-US"/>
              </w:rPr>
              <w:t>3,200</w:t>
            </w:r>
          </w:p>
        </w:tc>
      </w:tr>
      <w:tr w:rsidR="00273230" w:rsidTr="007A6048">
        <w:tc>
          <w:tcPr>
            <w:tcW w:w="3828" w:type="dxa"/>
          </w:tcPr>
          <w:p w:rsidR="00273230" w:rsidRPr="00A22D6E" w:rsidRDefault="00273230" w:rsidP="007A6048">
            <w:pPr>
              <w:autoSpaceDE w:val="0"/>
              <w:autoSpaceDN w:val="0"/>
              <w:adjustRightInd w:val="0"/>
              <w:rPr>
                <w:color w:val="auto"/>
                <w:sz w:val="18"/>
                <w:szCs w:val="18"/>
                <w:lang w:eastAsia="en-US"/>
              </w:rPr>
            </w:pPr>
            <w:r w:rsidRPr="00A22D6E">
              <w:rPr>
                <w:color w:val="auto"/>
                <w:sz w:val="18"/>
                <w:szCs w:val="18"/>
                <w:lang w:eastAsia="en-US"/>
              </w:rPr>
              <w:t>Longl</w:t>
            </w:r>
            <w:r>
              <w:rPr>
                <w:color w:val="auto"/>
                <w:sz w:val="18"/>
                <w:szCs w:val="18"/>
                <w:lang w:eastAsia="en-US"/>
              </w:rPr>
              <w:t>ine fishery for cod and haddock</w:t>
            </w:r>
          </w:p>
        </w:tc>
        <w:tc>
          <w:tcPr>
            <w:tcW w:w="2268" w:type="dxa"/>
          </w:tcPr>
          <w:p w:rsidR="00273230" w:rsidRPr="00A22D6E" w:rsidRDefault="00273230" w:rsidP="007A6048">
            <w:pPr>
              <w:autoSpaceDE w:val="0"/>
              <w:autoSpaceDN w:val="0"/>
              <w:adjustRightInd w:val="0"/>
              <w:rPr>
                <w:color w:val="auto"/>
                <w:sz w:val="18"/>
                <w:szCs w:val="18"/>
                <w:lang w:eastAsia="en-US"/>
              </w:rPr>
            </w:pPr>
            <w:r w:rsidRPr="00A22D6E">
              <w:rPr>
                <w:color w:val="auto"/>
                <w:sz w:val="18"/>
                <w:szCs w:val="18"/>
                <w:lang w:eastAsia="en-US"/>
              </w:rPr>
              <w:t>3,300</w:t>
            </w:r>
          </w:p>
        </w:tc>
      </w:tr>
      <w:tr w:rsidR="00273230" w:rsidTr="007A6048">
        <w:tc>
          <w:tcPr>
            <w:tcW w:w="3828" w:type="dxa"/>
          </w:tcPr>
          <w:p w:rsidR="00273230" w:rsidRPr="00A22D6E" w:rsidRDefault="00273230" w:rsidP="007A6048">
            <w:pPr>
              <w:autoSpaceDE w:val="0"/>
              <w:autoSpaceDN w:val="0"/>
              <w:adjustRightInd w:val="0"/>
              <w:rPr>
                <w:color w:val="auto"/>
                <w:sz w:val="18"/>
                <w:szCs w:val="18"/>
                <w:lang w:eastAsia="en-US"/>
              </w:rPr>
            </w:pPr>
            <w:r w:rsidRPr="00A22D6E">
              <w:rPr>
                <w:color w:val="auto"/>
                <w:sz w:val="18"/>
                <w:szCs w:val="18"/>
                <w:lang w:eastAsia="en-US"/>
              </w:rPr>
              <w:t>Longlin</w:t>
            </w:r>
            <w:r>
              <w:rPr>
                <w:color w:val="auto"/>
                <w:sz w:val="18"/>
                <w:szCs w:val="18"/>
                <w:lang w:eastAsia="en-US"/>
              </w:rPr>
              <w:t>e fishery for Greenland halibut</w:t>
            </w:r>
          </w:p>
        </w:tc>
        <w:tc>
          <w:tcPr>
            <w:tcW w:w="2268" w:type="dxa"/>
          </w:tcPr>
          <w:p w:rsidR="00273230" w:rsidRPr="00A22D6E" w:rsidRDefault="00273230" w:rsidP="007A6048">
            <w:pPr>
              <w:autoSpaceDE w:val="0"/>
              <w:autoSpaceDN w:val="0"/>
              <w:adjustRightInd w:val="0"/>
              <w:rPr>
                <w:color w:val="auto"/>
                <w:sz w:val="18"/>
                <w:szCs w:val="18"/>
                <w:lang w:eastAsia="en-US"/>
              </w:rPr>
            </w:pPr>
            <w:r w:rsidRPr="00A22D6E">
              <w:rPr>
                <w:color w:val="auto"/>
                <w:sz w:val="18"/>
                <w:szCs w:val="18"/>
                <w:lang w:eastAsia="en-US"/>
              </w:rPr>
              <w:t>153</w:t>
            </w:r>
          </w:p>
        </w:tc>
      </w:tr>
      <w:tr w:rsidR="00273230" w:rsidTr="007A6048">
        <w:tc>
          <w:tcPr>
            <w:tcW w:w="3828" w:type="dxa"/>
          </w:tcPr>
          <w:p w:rsidR="00273230" w:rsidRPr="0038796B" w:rsidRDefault="00273230" w:rsidP="007A6048">
            <w:pPr>
              <w:autoSpaceDE w:val="0"/>
              <w:autoSpaceDN w:val="0"/>
              <w:adjustRightInd w:val="0"/>
              <w:rPr>
                <w:b/>
                <w:color w:val="auto"/>
                <w:sz w:val="18"/>
                <w:szCs w:val="18"/>
                <w:lang w:eastAsia="en-US"/>
              </w:rPr>
            </w:pPr>
            <w:r w:rsidRPr="0038796B">
              <w:rPr>
                <w:b/>
                <w:color w:val="auto"/>
                <w:sz w:val="18"/>
                <w:szCs w:val="18"/>
                <w:lang w:eastAsia="en-US"/>
              </w:rPr>
              <w:t>Total gillnets</w:t>
            </w:r>
          </w:p>
        </w:tc>
        <w:tc>
          <w:tcPr>
            <w:tcW w:w="2268" w:type="dxa"/>
          </w:tcPr>
          <w:p w:rsidR="00273230" w:rsidRPr="0038796B" w:rsidRDefault="00273230" w:rsidP="007A6048">
            <w:pPr>
              <w:autoSpaceDE w:val="0"/>
              <w:autoSpaceDN w:val="0"/>
              <w:adjustRightInd w:val="0"/>
              <w:rPr>
                <w:b/>
                <w:color w:val="auto"/>
                <w:sz w:val="18"/>
                <w:szCs w:val="18"/>
                <w:lang w:eastAsia="en-US"/>
              </w:rPr>
            </w:pPr>
            <w:r w:rsidRPr="0038796B">
              <w:rPr>
                <w:b/>
                <w:color w:val="auto"/>
                <w:sz w:val="18"/>
                <w:szCs w:val="18"/>
                <w:lang w:eastAsia="en-US"/>
              </w:rPr>
              <w:t>6,500</w:t>
            </w:r>
          </w:p>
        </w:tc>
      </w:tr>
      <w:tr w:rsidR="00273230" w:rsidTr="007A6048">
        <w:tc>
          <w:tcPr>
            <w:tcW w:w="3828" w:type="dxa"/>
          </w:tcPr>
          <w:p w:rsidR="00273230" w:rsidRPr="0038796B" w:rsidRDefault="00273230" w:rsidP="007A6048">
            <w:pPr>
              <w:autoSpaceDE w:val="0"/>
              <w:autoSpaceDN w:val="0"/>
              <w:adjustRightInd w:val="0"/>
              <w:rPr>
                <w:b/>
                <w:color w:val="auto"/>
                <w:sz w:val="18"/>
                <w:szCs w:val="18"/>
                <w:lang w:eastAsia="en-US"/>
              </w:rPr>
            </w:pPr>
            <w:r w:rsidRPr="0038796B">
              <w:rPr>
                <w:b/>
                <w:color w:val="auto"/>
                <w:sz w:val="18"/>
                <w:szCs w:val="18"/>
                <w:lang w:eastAsia="en-US"/>
              </w:rPr>
              <w:t>Total longlines</w:t>
            </w:r>
          </w:p>
        </w:tc>
        <w:tc>
          <w:tcPr>
            <w:tcW w:w="2268" w:type="dxa"/>
          </w:tcPr>
          <w:p w:rsidR="00273230" w:rsidRPr="0038796B" w:rsidRDefault="00273230" w:rsidP="007A6048">
            <w:pPr>
              <w:autoSpaceDE w:val="0"/>
              <w:autoSpaceDN w:val="0"/>
              <w:adjustRightInd w:val="0"/>
              <w:rPr>
                <w:b/>
                <w:color w:val="auto"/>
                <w:sz w:val="18"/>
                <w:szCs w:val="18"/>
                <w:lang w:eastAsia="en-US"/>
              </w:rPr>
            </w:pPr>
            <w:r w:rsidRPr="0038796B">
              <w:rPr>
                <w:b/>
                <w:color w:val="auto"/>
                <w:sz w:val="18"/>
                <w:szCs w:val="18"/>
                <w:lang w:eastAsia="en-US"/>
              </w:rPr>
              <w:t>3,453</w:t>
            </w:r>
          </w:p>
        </w:tc>
      </w:tr>
    </w:tbl>
    <w:p w:rsidR="00273230" w:rsidRPr="005865DE" w:rsidRDefault="00273230" w:rsidP="00273230">
      <w:pPr>
        <w:autoSpaceDE w:val="0"/>
        <w:autoSpaceDN w:val="0"/>
        <w:adjustRightInd w:val="0"/>
        <w:spacing w:after="0" w:line="240" w:lineRule="auto"/>
        <w:rPr>
          <w:szCs w:val="20"/>
        </w:rPr>
      </w:pPr>
    </w:p>
    <w:p w:rsidR="00273230" w:rsidRDefault="00273230" w:rsidP="00273230">
      <w:pPr>
        <w:spacing w:after="0" w:line="240" w:lineRule="auto"/>
        <w:rPr>
          <w:szCs w:val="20"/>
        </w:rPr>
      </w:pPr>
    </w:p>
    <w:p w:rsidR="005D4BFC" w:rsidRPr="005865DE" w:rsidRDefault="005D4BFC" w:rsidP="005D4BFC">
      <w:pPr>
        <w:spacing w:after="0" w:line="240" w:lineRule="auto"/>
        <w:rPr>
          <w:szCs w:val="20"/>
        </w:rPr>
      </w:pPr>
      <w:proofErr w:type="gramStart"/>
      <w:r>
        <w:rPr>
          <w:szCs w:val="20"/>
        </w:rPr>
        <w:t>Table 3.</w:t>
      </w:r>
      <w:proofErr w:type="gramEnd"/>
      <w:r>
        <w:rPr>
          <w:szCs w:val="20"/>
        </w:rPr>
        <w:t xml:space="preserve"> </w:t>
      </w:r>
      <w:proofErr w:type="gramStart"/>
      <w:r>
        <w:rPr>
          <w:szCs w:val="20"/>
        </w:rPr>
        <w:t xml:space="preserve">Extrapolation of </w:t>
      </w:r>
      <w:r w:rsidR="001C0E69">
        <w:rPr>
          <w:szCs w:val="20"/>
        </w:rPr>
        <w:t>areas 3, 4 and 5</w:t>
      </w:r>
      <w:r>
        <w:rPr>
          <w:szCs w:val="20"/>
        </w:rPr>
        <w:t xml:space="preserve"> seabird annual bycatch (individuals) by gear, to total Barents Sea</w:t>
      </w:r>
      <w:r w:rsidR="001C0E69">
        <w:rPr>
          <w:szCs w:val="20"/>
        </w:rPr>
        <w:t xml:space="preserve"> bycatch</w:t>
      </w:r>
      <w:r>
        <w:rPr>
          <w:szCs w:val="20"/>
        </w:rPr>
        <w:t>.</w:t>
      </w:r>
      <w:proofErr w:type="gramEnd"/>
      <w:r>
        <w:rPr>
          <w:szCs w:val="20"/>
        </w:rPr>
        <w:t xml:space="preserve"> Conversion annual bycatch tonnes assuming typical weight of fulmar = 0.805 kg; guillemot = 0.947 kg, and equal numbers of each species.</w:t>
      </w:r>
      <w:r w:rsidR="001C0E69">
        <w:rPr>
          <w:szCs w:val="20"/>
        </w:rPr>
        <w:t xml:space="preserve"> Note that only part of statistical area 5 is within the Barents Sea model domain, which accounts for the fact that Barents Sea </w:t>
      </w:r>
      <w:proofErr w:type="gramStart"/>
      <w:r w:rsidR="001C0E69">
        <w:rPr>
          <w:szCs w:val="20"/>
        </w:rPr>
        <w:t>gillnet</w:t>
      </w:r>
      <w:proofErr w:type="gramEnd"/>
      <w:r w:rsidR="001C0E69">
        <w:rPr>
          <w:szCs w:val="20"/>
        </w:rPr>
        <w:t xml:space="preserve"> activity is less than that in areas 3, 4, 5.</w:t>
      </w:r>
    </w:p>
    <w:tbl>
      <w:tblPr>
        <w:tblStyle w:val="TableGrid"/>
        <w:tblW w:w="0" w:type="auto"/>
        <w:tblInd w:w="108" w:type="dxa"/>
        <w:tblLook w:val="04A0" w:firstRow="1" w:lastRow="0" w:firstColumn="1" w:lastColumn="0" w:noHBand="0" w:noVBand="1"/>
      </w:tblPr>
      <w:tblGrid>
        <w:gridCol w:w="993"/>
        <w:gridCol w:w="2551"/>
        <w:gridCol w:w="2410"/>
        <w:gridCol w:w="3118"/>
        <w:gridCol w:w="2410"/>
        <w:gridCol w:w="2410"/>
      </w:tblGrid>
      <w:tr w:rsidR="005D4BFC" w:rsidTr="001C0E69">
        <w:tc>
          <w:tcPr>
            <w:tcW w:w="993" w:type="dxa"/>
          </w:tcPr>
          <w:p w:rsidR="005D4BFC" w:rsidRPr="00273230" w:rsidRDefault="005D4BFC" w:rsidP="000C527D">
            <w:pPr>
              <w:rPr>
                <w:sz w:val="18"/>
                <w:szCs w:val="18"/>
              </w:rPr>
            </w:pPr>
            <w:r w:rsidRPr="00273230">
              <w:rPr>
                <w:sz w:val="18"/>
                <w:szCs w:val="18"/>
              </w:rPr>
              <w:t>Gear</w:t>
            </w:r>
          </w:p>
        </w:tc>
        <w:tc>
          <w:tcPr>
            <w:tcW w:w="2551" w:type="dxa"/>
          </w:tcPr>
          <w:p w:rsidR="005D4BFC" w:rsidRPr="00273230" w:rsidRDefault="007C419C" w:rsidP="007C419C">
            <w:pPr>
              <w:rPr>
                <w:sz w:val="18"/>
                <w:szCs w:val="18"/>
              </w:rPr>
            </w:pPr>
            <w:r>
              <w:rPr>
                <w:sz w:val="18"/>
                <w:szCs w:val="18"/>
              </w:rPr>
              <w:t>2011-2019 a</w:t>
            </w:r>
            <w:r w:rsidR="005D4BFC">
              <w:rPr>
                <w:sz w:val="18"/>
                <w:szCs w:val="18"/>
              </w:rPr>
              <w:t>nnual average Norwegian activity in areas 3, 4 and 5 (hours fishing)</w:t>
            </w:r>
          </w:p>
        </w:tc>
        <w:tc>
          <w:tcPr>
            <w:tcW w:w="2410" w:type="dxa"/>
          </w:tcPr>
          <w:p w:rsidR="005D4BFC" w:rsidRPr="00273230" w:rsidRDefault="007C419C" w:rsidP="007C419C">
            <w:pPr>
              <w:rPr>
                <w:sz w:val="18"/>
                <w:szCs w:val="18"/>
              </w:rPr>
            </w:pPr>
            <w:r>
              <w:rPr>
                <w:sz w:val="18"/>
                <w:szCs w:val="18"/>
              </w:rPr>
              <w:t>A</w:t>
            </w:r>
            <w:r w:rsidR="005D4BFC" w:rsidRPr="00273230">
              <w:rPr>
                <w:sz w:val="18"/>
                <w:szCs w:val="18"/>
              </w:rPr>
              <w:t xml:space="preserve">nnual </w:t>
            </w:r>
            <w:r>
              <w:rPr>
                <w:sz w:val="18"/>
                <w:szCs w:val="18"/>
              </w:rPr>
              <w:t xml:space="preserve">average </w:t>
            </w:r>
            <w:r w:rsidR="005D4BFC" w:rsidRPr="00273230">
              <w:rPr>
                <w:sz w:val="18"/>
                <w:szCs w:val="18"/>
              </w:rPr>
              <w:t>seabird bycatch</w:t>
            </w:r>
            <w:r w:rsidR="005D4BFC">
              <w:rPr>
                <w:sz w:val="18"/>
                <w:szCs w:val="18"/>
              </w:rPr>
              <w:t xml:space="preserve"> </w:t>
            </w:r>
            <w:r>
              <w:rPr>
                <w:sz w:val="18"/>
                <w:szCs w:val="18"/>
              </w:rPr>
              <w:t xml:space="preserve">in areas 3, 4 and 5 </w:t>
            </w:r>
            <w:r w:rsidR="005D4BFC">
              <w:rPr>
                <w:sz w:val="18"/>
                <w:szCs w:val="18"/>
              </w:rPr>
              <w:t>(ind</w:t>
            </w:r>
            <w:r>
              <w:rPr>
                <w:sz w:val="18"/>
                <w:szCs w:val="18"/>
              </w:rPr>
              <w:t>ividuals</w:t>
            </w:r>
            <w:r w:rsidR="005D4BFC">
              <w:rPr>
                <w:sz w:val="18"/>
                <w:szCs w:val="18"/>
              </w:rPr>
              <w:t>)</w:t>
            </w:r>
          </w:p>
        </w:tc>
        <w:tc>
          <w:tcPr>
            <w:tcW w:w="3118" w:type="dxa"/>
          </w:tcPr>
          <w:p w:rsidR="005D4BFC" w:rsidRPr="00273230" w:rsidRDefault="007C419C" w:rsidP="007C419C">
            <w:pPr>
              <w:rPr>
                <w:sz w:val="18"/>
                <w:szCs w:val="18"/>
              </w:rPr>
            </w:pPr>
            <w:r>
              <w:rPr>
                <w:sz w:val="18"/>
                <w:szCs w:val="18"/>
              </w:rPr>
              <w:t>2011-2019 annual average</w:t>
            </w:r>
            <w:r>
              <w:rPr>
                <w:sz w:val="18"/>
                <w:szCs w:val="18"/>
              </w:rPr>
              <w:t xml:space="preserve"> international activity in the Barents Sea model domain (hours</w:t>
            </w:r>
            <w:r w:rsidR="001C0E69">
              <w:rPr>
                <w:sz w:val="18"/>
                <w:szCs w:val="18"/>
              </w:rPr>
              <w:t xml:space="preserve"> fishing</w:t>
            </w:r>
            <w:r>
              <w:rPr>
                <w:sz w:val="18"/>
                <w:szCs w:val="18"/>
              </w:rPr>
              <w:t>)</w:t>
            </w:r>
          </w:p>
        </w:tc>
        <w:tc>
          <w:tcPr>
            <w:tcW w:w="2410" w:type="dxa"/>
          </w:tcPr>
          <w:p w:rsidR="005D4BFC" w:rsidRPr="00273230" w:rsidRDefault="005D4BFC" w:rsidP="001C0E69">
            <w:pPr>
              <w:rPr>
                <w:sz w:val="18"/>
                <w:szCs w:val="18"/>
              </w:rPr>
            </w:pPr>
            <w:r w:rsidRPr="00273230">
              <w:rPr>
                <w:sz w:val="18"/>
                <w:szCs w:val="18"/>
              </w:rPr>
              <w:t>Barents Sea fleet total annual bycatch</w:t>
            </w:r>
            <w:r>
              <w:rPr>
                <w:sz w:val="18"/>
                <w:szCs w:val="18"/>
              </w:rPr>
              <w:t xml:space="preserve"> (ind</w:t>
            </w:r>
            <w:r w:rsidR="001C0E69">
              <w:rPr>
                <w:sz w:val="18"/>
                <w:szCs w:val="18"/>
              </w:rPr>
              <w:t>ividuals</w:t>
            </w:r>
            <w:r>
              <w:rPr>
                <w:sz w:val="18"/>
                <w:szCs w:val="18"/>
              </w:rPr>
              <w:t>)</w:t>
            </w:r>
          </w:p>
        </w:tc>
        <w:tc>
          <w:tcPr>
            <w:tcW w:w="2410" w:type="dxa"/>
          </w:tcPr>
          <w:p w:rsidR="005D4BFC" w:rsidRPr="00273230" w:rsidRDefault="005D4BFC" w:rsidP="000C527D">
            <w:pPr>
              <w:rPr>
                <w:b/>
                <w:sz w:val="18"/>
                <w:szCs w:val="18"/>
              </w:rPr>
            </w:pPr>
            <w:r w:rsidRPr="00273230">
              <w:rPr>
                <w:b/>
                <w:sz w:val="18"/>
                <w:szCs w:val="18"/>
              </w:rPr>
              <w:t>Barents Sea fleet total annual bycatch (tonnes)</w:t>
            </w:r>
          </w:p>
        </w:tc>
      </w:tr>
      <w:tr w:rsidR="005D4BFC" w:rsidTr="001C0E69">
        <w:tc>
          <w:tcPr>
            <w:tcW w:w="993" w:type="dxa"/>
          </w:tcPr>
          <w:p w:rsidR="005D4BFC" w:rsidRPr="00273230" w:rsidRDefault="005D4BFC" w:rsidP="000C527D">
            <w:pPr>
              <w:rPr>
                <w:sz w:val="18"/>
                <w:szCs w:val="18"/>
              </w:rPr>
            </w:pPr>
            <w:r w:rsidRPr="00273230">
              <w:rPr>
                <w:sz w:val="18"/>
                <w:szCs w:val="18"/>
              </w:rPr>
              <w:t>Gillnets</w:t>
            </w:r>
          </w:p>
        </w:tc>
        <w:tc>
          <w:tcPr>
            <w:tcW w:w="2551" w:type="dxa"/>
          </w:tcPr>
          <w:p w:rsidR="005D4BFC" w:rsidRPr="001C0E69" w:rsidRDefault="007C419C" w:rsidP="000C527D">
            <w:pPr>
              <w:rPr>
                <w:sz w:val="18"/>
                <w:szCs w:val="18"/>
              </w:rPr>
            </w:pPr>
            <w:r w:rsidRPr="001C0E69">
              <w:rPr>
                <w:rFonts w:eastAsia="Times New Roman"/>
                <w:sz w:val="18"/>
                <w:szCs w:val="18"/>
                <w:shd w:val="clear" w:color="auto" w:fill="FFFFFF"/>
              </w:rPr>
              <w:t>94,641</w:t>
            </w:r>
          </w:p>
        </w:tc>
        <w:tc>
          <w:tcPr>
            <w:tcW w:w="2410" w:type="dxa"/>
          </w:tcPr>
          <w:p w:rsidR="005D4BFC" w:rsidRPr="001C0E69" w:rsidRDefault="005D4BFC" w:rsidP="000C527D">
            <w:pPr>
              <w:rPr>
                <w:sz w:val="18"/>
                <w:szCs w:val="18"/>
              </w:rPr>
            </w:pPr>
            <w:r w:rsidRPr="001C0E69">
              <w:rPr>
                <w:sz w:val="18"/>
                <w:szCs w:val="18"/>
              </w:rPr>
              <w:t>6,500</w:t>
            </w:r>
          </w:p>
        </w:tc>
        <w:tc>
          <w:tcPr>
            <w:tcW w:w="3118" w:type="dxa"/>
          </w:tcPr>
          <w:p w:rsidR="005D4BFC" w:rsidRPr="001C0E69" w:rsidRDefault="007C419C" w:rsidP="000C527D">
            <w:pPr>
              <w:rPr>
                <w:sz w:val="18"/>
                <w:szCs w:val="18"/>
              </w:rPr>
            </w:pPr>
            <w:r w:rsidRPr="001C0E69">
              <w:rPr>
                <w:rFonts w:eastAsia="Times New Roman"/>
                <w:sz w:val="18"/>
                <w:szCs w:val="18"/>
              </w:rPr>
              <w:t>33,489</w:t>
            </w:r>
          </w:p>
        </w:tc>
        <w:tc>
          <w:tcPr>
            <w:tcW w:w="2410" w:type="dxa"/>
          </w:tcPr>
          <w:p w:rsidR="005D4BFC" w:rsidRPr="001C0E69" w:rsidRDefault="001C0E69" w:rsidP="000C527D">
            <w:pPr>
              <w:rPr>
                <w:sz w:val="18"/>
                <w:szCs w:val="18"/>
              </w:rPr>
            </w:pPr>
            <w:r w:rsidRPr="001C0E69">
              <w:rPr>
                <w:sz w:val="18"/>
                <w:szCs w:val="18"/>
              </w:rPr>
              <w:t>2,300</w:t>
            </w:r>
          </w:p>
        </w:tc>
        <w:tc>
          <w:tcPr>
            <w:tcW w:w="2410" w:type="dxa"/>
          </w:tcPr>
          <w:p w:rsidR="005D4BFC" w:rsidRPr="00381234" w:rsidRDefault="001C0E69" w:rsidP="000C527D">
            <w:pPr>
              <w:rPr>
                <w:b/>
                <w:color w:val="FF0000"/>
                <w:sz w:val="18"/>
                <w:szCs w:val="18"/>
              </w:rPr>
            </w:pPr>
            <w:r w:rsidRPr="00381234">
              <w:rPr>
                <w:b/>
                <w:color w:val="FF0000"/>
                <w:sz w:val="18"/>
                <w:szCs w:val="18"/>
              </w:rPr>
              <w:t>2.015</w:t>
            </w:r>
          </w:p>
        </w:tc>
      </w:tr>
      <w:tr w:rsidR="005D4BFC" w:rsidTr="001C0E69">
        <w:tc>
          <w:tcPr>
            <w:tcW w:w="993" w:type="dxa"/>
          </w:tcPr>
          <w:p w:rsidR="005D4BFC" w:rsidRPr="00273230" w:rsidRDefault="005D4BFC" w:rsidP="000C527D">
            <w:pPr>
              <w:rPr>
                <w:sz w:val="18"/>
                <w:szCs w:val="18"/>
              </w:rPr>
            </w:pPr>
            <w:r w:rsidRPr="00273230">
              <w:rPr>
                <w:sz w:val="18"/>
                <w:szCs w:val="18"/>
              </w:rPr>
              <w:t>Longlines</w:t>
            </w:r>
          </w:p>
        </w:tc>
        <w:tc>
          <w:tcPr>
            <w:tcW w:w="2551" w:type="dxa"/>
          </w:tcPr>
          <w:p w:rsidR="005D4BFC" w:rsidRPr="001C0E69" w:rsidRDefault="007C419C" w:rsidP="000C527D">
            <w:pPr>
              <w:rPr>
                <w:sz w:val="18"/>
                <w:szCs w:val="18"/>
              </w:rPr>
            </w:pPr>
            <w:r w:rsidRPr="001C0E69">
              <w:rPr>
                <w:rFonts w:eastAsia="Times New Roman"/>
                <w:sz w:val="18"/>
                <w:szCs w:val="18"/>
              </w:rPr>
              <w:t>169,675</w:t>
            </w:r>
          </w:p>
        </w:tc>
        <w:tc>
          <w:tcPr>
            <w:tcW w:w="2410" w:type="dxa"/>
          </w:tcPr>
          <w:p w:rsidR="005D4BFC" w:rsidRPr="001C0E69" w:rsidRDefault="005D4BFC" w:rsidP="000C527D">
            <w:pPr>
              <w:rPr>
                <w:sz w:val="18"/>
                <w:szCs w:val="18"/>
              </w:rPr>
            </w:pPr>
            <w:r w:rsidRPr="001C0E69">
              <w:rPr>
                <w:sz w:val="18"/>
                <w:szCs w:val="18"/>
              </w:rPr>
              <w:t>3,453</w:t>
            </w:r>
          </w:p>
        </w:tc>
        <w:tc>
          <w:tcPr>
            <w:tcW w:w="3118" w:type="dxa"/>
          </w:tcPr>
          <w:p w:rsidR="005D4BFC" w:rsidRPr="001C0E69" w:rsidRDefault="007C419C" w:rsidP="000C527D">
            <w:pPr>
              <w:rPr>
                <w:sz w:val="18"/>
                <w:szCs w:val="18"/>
              </w:rPr>
            </w:pPr>
            <w:r w:rsidRPr="001C0E69">
              <w:rPr>
                <w:rFonts w:eastAsia="Times New Roman"/>
                <w:sz w:val="18"/>
                <w:szCs w:val="18"/>
              </w:rPr>
              <w:t>382,537</w:t>
            </w:r>
          </w:p>
        </w:tc>
        <w:tc>
          <w:tcPr>
            <w:tcW w:w="2410" w:type="dxa"/>
          </w:tcPr>
          <w:p w:rsidR="005D4BFC" w:rsidRPr="001C0E69" w:rsidRDefault="005D4BFC" w:rsidP="001C0E69">
            <w:pPr>
              <w:rPr>
                <w:sz w:val="18"/>
                <w:szCs w:val="18"/>
              </w:rPr>
            </w:pPr>
            <w:r w:rsidRPr="001C0E69">
              <w:rPr>
                <w:sz w:val="18"/>
                <w:szCs w:val="18"/>
              </w:rPr>
              <w:t>7,</w:t>
            </w:r>
            <w:r w:rsidR="001C0E69" w:rsidRPr="001C0E69">
              <w:rPr>
                <w:sz w:val="18"/>
                <w:szCs w:val="18"/>
              </w:rPr>
              <w:t>784</w:t>
            </w:r>
          </w:p>
        </w:tc>
        <w:tc>
          <w:tcPr>
            <w:tcW w:w="2410" w:type="dxa"/>
          </w:tcPr>
          <w:p w:rsidR="005D4BFC" w:rsidRPr="00381234" w:rsidRDefault="005D4BFC" w:rsidP="001C0E69">
            <w:pPr>
              <w:rPr>
                <w:b/>
                <w:color w:val="FF0000"/>
                <w:sz w:val="18"/>
                <w:szCs w:val="18"/>
              </w:rPr>
            </w:pPr>
            <w:r w:rsidRPr="00381234">
              <w:rPr>
                <w:b/>
                <w:color w:val="FF0000"/>
                <w:sz w:val="18"/>
                <w:szCs w:val="18"/>
              </w:rPr>
              <w:t>6.8</w:t>
            </w:r>
            <w:r w:rsidR="001C0E69" w:rsidRPr="00381234">
              <w:rPr>
                <w:b/>
                <w:color w:val="FF0000"/>
                <w:sz w:val="18"/>
                <w:szCs w:val="18"/>
              </w:rPr>
              <w:t>19</w:t>
            </w:r>
          </w:p>
        </w:tc>
      </w:tr>
    </w:tbl>
    <w:p w:rsidR="005D4BFC" w:rsidRPr="005865DE" w:rsidRDefault="005D4BFC" w:rsidP="005D4BFC">
      <w:pPr>
        <w:spacing w:after="0" w:line="240" w:lineRule="auto"/>
        <w:rPr>
          <w:szCs w:val="20"/>
        </w:rPr>
      </w:pPr>
    </w:p>
    <w:p w:rsidR="00273230" w:rsidRDefault="00273230" w:rsidP="00C031F5">
      <w:pPr>
        <w:spacing w:after="0" w:line="240" w:lineRule="auto"/>
        <w:contextualSpacing/>
        <w:mirrorIndents/>
      </w:pPr>
      <w:bookmarkStart w:id="0" w:name="_GoBack"/>
      <w:bookmarkEnd w:id="0"/>
    </w:p>
    <w:sectPr w:rsidR="00273230" w:rsidSect="00907F18">
      <w:pgSz w:w="16838" w:h="11906" w:orient="landscape"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870"/>
    <w:rsid w:val="00150870"/>
    <w:rsid w:val="001C0E69"/>
    <w:rsid w:val="0021228D"/>
    <w:rsid w:val="0026743B"/>
    <w:rsid w:val="00273230"/>
    <w:rsid w:val="00381234"/>
    <w:rsid w:val="0038796B"/>
    <w:rsid w:val="003E6F22"/>
    <w:rsid w:val="00517E21"/>
    <w:rsid w:val="005865DE"/>
    <w:rsid w:val="005D4BFC"/>
    <w:rsid w:val="007C419C"/>
    <w:rsid w:val="00907F18"/>
    <w:rsid w:val="009303BC"/>
    <w:rsid w:val="00A22D6E"/>
    <w:rsid w:val="00C031F5"/>
    <w:rsid w:val="00C15F5E"/>
    <w:rsid w:val="00C64684"/>
    <w:rsid w:val="00D04CFA"/>
    <w:rsid w:val="00E549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NewRomanPSMT"/>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cs="Arial"/>
      <w:color w:val="000000"/>
      <w:sz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50870"/>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150870"/>
    <w:rPr>
      <w:color w:val="0000FF" w:themeColor="hyperlink"/>
      <w:u w:val="single"/>
    </w:rPr>
  </w:style>
  <w:style w:type="table" w:styleId="TableGrid">
    <w:name w:val="Table Grid"/>
    <w:basedOn w:val="TableNormal"/>
    <w:uiPriority w:val="59"/>
    <w:rsid w:val="00A22D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NewRomanPSMT"/>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cs="Arial"/>
      <w:color w:val="000000"/>
      <w:sz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50870"/>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150870"/>
    <w:rPr>
      <w:color w:val="0000FF" w:themeColor="hyperlink"/>
      <w:u w:val="single"/>
    </w:rPr>
  </w:style>
  <w:style w:type="table" w:styleId="TableGrid">
    <w:name w:val="Table Grid"/>
    <w:basedOn w:val="TableNormal"/>
    <w:uiPriority w:val="59"/>
    <w:rsid w:val="00A22D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33602">
      <w:bodyDiv w:val="1"/>
      <w:marLeft w:val="0"/>
      <w:marRight w:val="0"/>
      <w:marTop w:val="0"/>
      <w:marBottom w:val="0"/>
      <w:divBdr>
        <w:top w:val="none" w:sz="0" w:space="0" w:color="auto"/>
        <w:left w:val="none" w:sz="0" w:space="0" w:color="auto"/>
        <w:bottom w:val="none" w:sz="0" w:space="0" w:color="auto"/>
        <w:right w:val="none" w:sz="0" w:space="0" w:color="auto"/>
      </w:divBdr>
      <w:divsChild>
        <w:div w:id="523833134">
          <w:marLeft w:val="0"/>
          <w:marRight w:val="0"/>
          <w:marTop w:val="0"/>
          <w:marBottom w:val="0"/>
          <w:divBdr>
            <w:top w:val="none" w:sz="0" w:space="0" w:color="auto"/>
            <w:left w:val="none" w:sz="0" w:space="0" w:color="auto"/>
            <w:bottom w:val="none" w:sz="0" w:space="0" w:color="auto"/>
            <w:right w:val="none" w:sz="0" w:space="0" w:color="auto"/>
          </w:divBdr>
        </w:div>
        <w:div w:id="1757942336">
          <w:marLeft w:val="0"/>
          <w:marRight w:val="0"/>
          <w:marTop w:val="0"/>
          <w:marBottom w:val="0"/>
          <w:divBdr>
            <w:top w:val="none" w:sz="0" w:space="0" w:color="auto"/>
            <w:left w:val="none" w:sz="0" w:space="0" w:color="auto"/>
            <w:bottom w:val="none" w:sz="0" w:space="0" w:color="auto"/>
            <w:right w:val="none" w:sz="0" w:space="0" w:color="auto"/>
          </w:divBdr>
        </w:div>
        <w:div w:id="980766070">
          <w:marLeft w:val="0"/>
          <w:marRight w:val="0"/>
          <w:marTop w:val="0"/>
          <w:marBottom w:val="0"/>
          <w:divBdr>
            <w:top w:val="none" w:sz="0" w:space="0" w:color="auto"/>
            <w:left w:val="none" w:sz="0" w:space="0" w:color="auto"/>
            <w:bottom w:val="none" w:sz="0" w:space="0" w:color="auto"/>
            <w:right w:val="none" w:sz="0" w:space="0" w:color="auto"/>
          </w:divBdr>
        </w:div>
        <w:div w:id="1014645991">
          <w:marLeft w:val="0"/>
          <w:marRight w:val="0"/>
          <w:marTop w:val="0"/>
          <w:marBottom w:val="0"/>
          <w:divBdr>
            <w:top w:val="none" w:sz="0" w:space="0" w:color="auto"/>
            <w:left w:val="none" w:sz="0" w:space="0" w:color="auto"/>
            <w:bottom w:val="none" w:sz="0" w:space="0" w:color="auto"/>
            <w:right w:val="none" w:sz="0" w:space="0" w:color="auto"/>
          </w:divBdr>
        </w:div>
        <w:div w:id="1947494597">
          <w:marLeft w:val="0"/>
          <w:marRight w:val="0"/>
          <w:marTop w:val="0"/>
          <w:marBottom w:val="0"/>
          <w:divBdr>
            <w:top w:val="none" w:sz="0" w:space="0" w:color="auto"/>
            <w:left w:val="none" w:sz="0" w:space="0" w:color="auto"/>
            <w:bottom w:val="none" w:sz="0" w:space="0" w:color="auto"/>
            <w:right w:val="none" w:sz="0" w:space="0" w:color="auto"/>
          </w:divBdr>
        </w:div>
        <w:div w:id="2087417621">
          <w:marLeft w:val="0"/>
          <w:marRight w:val="0"/>
          <w:marTop w:val="0"/>
          <w:marBottom w:val="0"/>
          <w:divBdr>
            <w:top w:val="none" w:sz="0" w:space="0" w:color="auto"/>
            <w:left w:val="none" w:sz="0" w:space="0" w:color="auto"/>
            <w:bottom w:val="none" w:sz="0" w:space="0" w:color="auto"/>
            <w:right w:val="none" w:sz="0" w:space="0" w:color="auto"/>
          </w:divBdr>
        </w:div>
        <w:div w:id="2133550178">
          <w:marLeft w:val="0"/>
          <w:marRight w:val="0"/>
          <w:marTop w:val="0"/>
          <w:marBottom w:val="0"/>
          <w:divBdr>
            <w:top w:val="none" w:sz="0" w:space="0" w:color="auto"/>
            <w:left w:val="none" w:sz="0" w:space="0" w:color="auto"/>
            <w:bottom w:val="none" w:sz="0" w:space="0" w:color="auto"/>
            <w:right w:val="none" w:sz="0" w:space="0" w:color="auto"/>
          </w:divBdr>
        </w:div>
        <w:div w:id="789520165">
          <w:marLeft w:val="0"/>
          <w:marRight w:val="0"/>
          <w:marTop w:val="0"/>
          <w:marBottom w:val="0"/>
          <w:divBdr>
            <w:top w:val="none" w:sz="0" w:space="0" w:color="auto"/>
            <w:left w:val="none" w:sz="0" w:space="0" w:color="auto"/>
            <w:bottom w:val="none" w:sz="0" w:space="0" w:color="auto"/>
            <w:right w:val="none" w:sz="0" w:space="0" w:color="auto"/>
          </w:divBdr>
        </w:div>
        <w:div w:id="1576091219">
          <w:marLeft w:val="0"/>
          <w:marRight w:val="0"/>
          <w:marTop w:val="0"/>
          <w:marBottom w:val="0"/>
          <w:divBdr>
            <w:top w:val="none" w:sz="0" w:space="0" w:color="auto"/>
            <w:left w:val="none" w:sz="0" w:space="0" w:color="auto"/>
            <w:bottom w:val="none" w:sz="0" w:space="0" w:color="auto"/>
            <w:right w:val="none" w:sz="0" w:space="0" w:color="auto"/>
          </w:divBdr>
        </w:div>
        <w:div w:id="223613803">
          <w:marLeft w:val="0"/>
          <w:marRight w:val="0"/>
          <w:marTop w:val="0"/>
          <w:marBottom w:val="0"/>
          <w:divBdr>
            <w:top w:val="none" w:sz="0" w:space="0" w:color="auto"/>
            <w:left w:val="none" w:sz="0" w:space="0" w:color="auto"/>
            <w:bottom w:val="none" w:sz="0" w:space="0" w:color="auto"/>
            <w:right w:val="none" w:sz="0" w:space="0" w:color="auto"/>
          </w:divBdr>
        </w:div>
      </w:divsChild>
    </w:div>
    <w:div w:id="135942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1007</Words>
  <Characters>5742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Heath</dc:creator>
  <cp:lastModifiedBy>Michael Heath</cp:lastModifiedBy>
  <cp:revision>3</cp:revision>
  <dcterms:created xsi:type="dcterms:W3CDTF">2021-02-25T15:03:00Z</dcterms:created>
  <dcterms:modified xsi:type="dcterms:W3CDTF">2021-02-25T15:16:00Z</dcterms:modified>
</cp:coreProperties>
</file>