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0" w:line="283" w:lineRule="auto"/>
        <w:jc w:val="center"/>
      </w:pPr>
      <w:r>
        <w:rPr>
          <w:rFonts w:ascii="Aptos" w:hAnsi="Aptos" w:eastAsia="Microsoft YaHei"/>
          <w:b/>
          <w:i w:val="0"/>
          <w:color w:val="B88746"/>
          <w:sz w:val="20"/>
        </w:rPr>
        <w:t>PROJECT MASTER PLAN</w:t>
      </w:r>
    </w:p>
    <w:p>
      <w:pPr>
        <w:spacing w:before="0" w:after="80" w:line="283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64"/>
        </w:rPr>
        <w:t>昆仑智策</w:t>
      </w:r>
    </w:p>
    <w:p>
      <w:pPr>
        <w:spacing w:before="0" w:after="360" w:line="283" w:lineRule="auto"/>
        <w:jc w:val="center"/>
      </w:pPr>
      <w:r>
        <w:rPr>
          <w:rFonts w:ascii="Aptos" w:hAnsi="Aptos" w:eastAsia="Microsoft YaHei"/>
          <w:b/>
          <w:i w:val="0"/>
          <w:color w:val="2E668D"/>
          <w:sz w:val="36"/>
        </w:rPr>
        <w:t>KUNLUN ALPHA</w:t>
      </w:r>
    </w:p>
    <w:p>
      <w:pPr>
        <w:spacing w:before="0" w:after="160" w:line="283" w:lineRule="auto"/>
        <w:jc w:val="center"/>
      </w:pPr>
      <w:r>
        <w:rPr>
          <w:rFonts w:ascii="Aptos" w:hAnsi="Aptos" w:eastAsia="Microsoft YaHei"/>
          <w:b w:val="0"/>
          <w:i w:val="0"/>
          <w:color w:val="1F2933"/>
          <w:sz w:val="30"/>
        </w:rPr>
        <w:t>A 股智能投研与量化交易平台</w:t>
      </w:r>
    </w:p>
    <w:p>
      <w:pPr>
        <w:spacing w:before="0" w:after="880" w:line="283" w:lineRule="auto"/>
        <w:jc w:val="center"/>
      </w:pPr>
      <w:r>
        <w:rPr>
          <w:rFonts w:ascii="Aptos" w:hAnsi="Aptos" w:eastAsia="Microsoft YaHei"/>
          <w:b w:val="0"/>
          <w:i w:val="0"/>
          <w:color w:val="247B7B"/>
          <w:sz w:val="28"/>
        </w:rPr>
        <w:t>项目总体规划与分阶段实施手册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6F7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核心原则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观势 · 知势 · 策势。前七阶段只研究、分析、回测与模拟；真实交易仅在 Phase 7 经风控与人工审批后开放。</w:t>
            </w:r>
          </w:p>
        </w:tc>
      </w:tr>
    </w:tbl>
    <w:p>
      <w:pPr>
        <w:spacing w:before="0" w:after="60" w:line="283" w:lineRule="auto"/>
      </w:pPr>
    </w:p>
    <w:p>
      <w:pPr>
        <w:spacing w:before="0" w:after="720" w:line="283" w:lineRule="auto"/>
        <w:jc w:val="center"/>
      </w:pPr>
      <w:r>
        <w:rPr>
          <w:rFonts w:ascii="Aptos" w:hAnsi="Aptos" w:eastAsia="Microsoft YaHei"/>
          <w:b/>
          <w:i w:val="0"/>
          <w:color w:val="17324D"/>
          <w:sz w:val="21"/>
        </w:rPr>
        <w:t>适用协作：WorkBuddy 单节点开发 → Codex 节点审核 → 通过后进入下一节点</w:t>
      </w:r>
    </w:p>
    <w:p>
      <w:pPr>
        <w:spacing w:before="0" w:after="120" w:line="283" w:lineRule="auto"/>
        <w:jc w:val="center"/>
      </w:pPr>
      <w:r>
        <w:rPr>
          <w:rFonts w:ascii="Aptos" w:hAnsi="Aptos" w:eastAsia="Microsoft YaHei"/>
          <w:b w:val="0"/>
          <w:i w:val="0"/>
          <w:color w:val="667786"/>
          <w:sz w:val="19"/>
        </w:rPr>
        <w:t>版本：1.0  |  基线日期：2026-08-11  |  状态：Approved Planning Baseline</w:t>
      </w:r>
    </w:p>
    <w:p>
      <w:pPr>
        <w:spacing w:before="0" w:after="120" w:line="283" w:lineRule="auto"/>
        <w:jc w:val="center"/>
      </w:pPr>
      <w:r>
        <w:rPr>
          <w:rFonts w:ascii="Aptos" w:hAnsi="Aptos" w:eastAsia="Microsoft YaHei"/>
          <w:b w:val="0"/>
          <w:i w:val="0"/>
          <w:color w:val="667786"/>
          <w:sz w:val="19"/>
        </w:rPr>
        <w:t>技术版本策略：节点启动时解析并锁定最新稳定版；禁止预发布和浮动依赖。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文档控制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项目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品牌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昆仑智策 · Kunlun Alpha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定位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A 股与场内贵金属基金智能投研、量化研究、回测、模拟组合与受控实盘平台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仓库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kunlun-alpha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主要执行者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WorkBuddy：单节点开发；Codex：需求、架构、代码与测试审核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安全边界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Phase 0–6 禁止真实券商订单；Phase 7 默认关闭并逐级解锁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文件规范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UTF-8 + LF；Windows、macOS、Linux 三端兼容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目录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1. 执行摘要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2. 产品定位与范围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3. 核心架构与数据流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4. 技术栈与 Monorepo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5. 统一开发规范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6. 数据与领域设计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7. 分阶段路线图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8. 原子开发节点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9. WorkBuddy 任务模板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10. Codex 审核清单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11. 实盘开放门禁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附录 A：统一配置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附录 B：术语表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1. 执行摘要</w:t>
      </w:r>
    </w:p>
    <w:p>
      <w:pPr>
        <w:spacing w:before="0" w:after="12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昆仑智策不是单纯行情软件，也不是第一天就自动下单的交易机器人。其核心资产是长期可追溯的“事件 → 热点 → 板块 → 股票 → 席位 → KOL Claim → 特征 → 后续收益”历史数据库，以及建立在同一数据口径上的研究、回测、模拟和风险控制能力。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DF5F5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交付策略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每次只向 WorkBuddy 分派一个 P{phase}-N{sequence} 节点。节点完成后提交证据包，由 Codex 审核；未通过不得领取后续依赖节点。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2. 产品定位与范围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2.1 产品能力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统一 A 股证券、ETF 与行情数据底座。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交易所上市黄金及数据源可识别的白银相关 ETF/基金。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市场情绪、涨跌停、连板梯队和板块轮动。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新闻、政策、公告、研报和社交内容的事件与热点 Intelligence。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龙虎榜席位知识库和 KOL 公开 Claim Intelligence。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版本化 Feature Store、因子研究、事件研究和 A 股/场内基金约束回测。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智能决策终端、自选预警与模拟组合。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最后阶段的 QMT 适配、独立风控、订单状态机、对账和小资金灰度。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2.2 明确非目标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第一版不做全市场 Level-2/Tick 长期存储。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贵金属现货、实物、期货、保证金、换月、交割和仓单业务不在首版范围。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不做高频交易、超低延迟撮合或自研时序数据库。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不同时接入多个券商或多个交易市场。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AI 不直接决定或提交真实买卖订单。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不以微服务数量、Kubernetes 或 Kafka 作为工程成熟度指标。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2.3 不可破坏的原则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4252"/>
        <w:gridCol w:w="3118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原则</w:t>
            </w:r>
          </w:p>
        </w:tc>
        <w:tc>
          <w:tcPr>
            <w:tcW w:type="dxa" w:w="42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要求</w:t>
            </w:r>
          </w:p>
        </w:tc>
        <w:tc>
          <w:tcPr>
            <w:tcW w:type="dxa" w:w="311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验证方式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安全隔离</w:t>
            </w:r>
          </w:p>
        </w:tc>
        <w:tc>
          <w:tcPr>
            <w:tcW w:type="dxa" w:w="425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Phase 0–6 无真实下单调用路径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依赖扫描、网络策略与集成测试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数据可追溯</w:t>
            </w:r>
          </w:p>
        </w:tc>
        <w:tc>
          <w:tcPr>
            <w:tcW w:type="dxa" w:w="425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每个结果可定位来源、版本和处理链</w:t>
            </w:r>
          </w:p>
        </w:tc>
        <w:tc>
          <w:tcPr>
            <w:tcW w:type="dxa" w:w="311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审计字段与重放测试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点时正确</w:t>
            </w:r>
          </w:p>
        </w:tc>
        <w:tc>
          <w:tcPr>
            <w:tcW w:type="dxa" w:w="425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只使用决策时刻可见的数据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未来泄漏反例测试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契约优先</w:t>
            </w:r>
          </w:p>
        </w:tc>
        <w:tc>
          <w:tcPr>
            <w:tcW w:type="dxa" w:w="425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生产者与消费者共享版本化契约</w:t>
            </w:r>
          </w:p>
        </w:tc>
        <w:tc>
          <w:tcPr>
            <w:tcW w:type="dxa" w:w="311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兼容性检查与生成类型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小步交付</w:t>
            </w:r>
          </w:p>
        </w:tc>
        <w:tc>
          <w:tcPr>
            <w:tcW w:type="dxa" w:w="425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单节点可独立测试、提交、回退</w:t>
            </w:r>
          </w:p>
        </w:tc>
        <w:tc>
          <w:tcPr>
            <w:tcW w:type="dxa" w:w="311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WorkBuddy 证据包与 Codex 门禁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3. 核心架构与数据流</w:t>
      </w:r>
    </w:p>
    <w:p>
      <w:pPr>
        <w:spacing w:before="0" w:after="12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外部数据源经适配器进入原始数据区，再经过规范化、校验、去重和事件总线写入不同职责的存储。领域引擎只消费契约化数据；特征、研究和回测共享同一语义。策略输出 Signal 或 OrderIntent，永远不直接调用券商。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E668D"/>
                <w:sz w:val="21"/>
              </w:rPr>
              <w:t xml:space="preserve">主数据流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Data Source → Provider Adapter → Collector → Normalizer → Validator → Deduplicator → Event Bus → Storage → Domain Engines → Feature Store → Research / Backtest / Decision Terminal → Paper Portfolio → Risk Engine → Execution Gateway → QMT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3.1 存储职责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592"/>
        <w:gridCol w:w="2721"/>
      </w:tblGrid>
      <w:tr>
        <w:trPr>
          <w:tblHeader w:val="true"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组件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主要职责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禁止事项</w:t>
            </w:r>
          </w:p>
        </w:tc>
      </w:tr>
      <w:tr>
        <w:tc>
          <w:tcPr>
            <w:tcW w:type="dxa" w:w="1757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PostgreSQL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用户、配置、任务、审计、订单与组合业务状态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不承载全市场高频行情</w:t>
            </w:r>
          </w:p>
        </w:tc>
      </w:tr>
      <w:tr>
        <w:tc>
          <w:tcPr>
            <w:tcW w:type="dxa" w:w="1757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ClickHouse</w:t>
            </w:r>
          </w:p>
        </w:tc>
        <w:tc>
          <w:tcPr>
            <w:tcW w:type="dxa" w:w="459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行情、分钟快照、特征、事件分析与历史查询</w:t>
            </w:r>
          </w:p>
        </w:tc>
        <w:tc>
          <w:tcPr>
            <w:tcW w:type="dxa" w:w="272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不作为强事务控制面</w:t>
            </w:r>
          </w:p>
        </w:tc>
      </w:tr>
      <w:tr>
        <w:tc>
          <w:tcPr>
            <w:tcW w:type="dxa" w:w="1757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Redis</w:t>
            </w:r>
          </w:p>
        </w:tc>
        <w:tc>
          <w:tcPr>
            <w:tcW w:type="dxa" w:w="459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在线缓存、实时特征、锁、租约与短期状态</w:t>
            </w:r>
          </w:p>
        </w:tc>
        <w:tc>
          <w:tcPr>
            <w:tcW w:type="dxa" w:w="272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不作为唯一事实来源</w:t>
            </w:r>
          </w:p>
        </w:tc>
      </w:tr>
      <w:tr>
        <w:tc>
          <w:tcPr>
            <w:tcW w:type="dxa" w:w="1757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MinIO/COS</w:t>
            </w:r>
          </w:p>
        </w:tc>
        <w:tc>
          <w:tcPr>
            <w:tcW w:type="dxa" w:w="459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不可变原始对象、Parquet 数据集、模型与报告</w:t>
            </w:r>
          </w:p>
        </w:tc>
        <w:tc>
          <w:tcPr>
            <w:tcW w:type="dxa" w:w="272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不保存无清单的孤立产物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3.2 服务与领域边界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层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责任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apps/web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用户终端；只经 API/WS 使用能力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apps/api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控制面、权限、配置、查询聚合与任务编排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services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可独立运行的 Engine、Worker、Risk 与 Execution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python/packages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无部署责任的领域库和算法库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packages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UI、契约、客户端、配置和共享类型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infra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本地/生产基础设施与可观测性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4. 技术栈与 Monorepo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4.1 技术选型</w:t>
      </w:r>
    </w:p>
    <w:tbl>
      <w:tblPr>
        <w:tblStyle w:val="TableGrid"/>
        <w:tblW w:type="dxa" w:w="9072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3402"/>
        <w:gridCol w:w="3969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领域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选型</w:t>
            </w:r>
          </w:p>
        </w:tc>
        <w:tc>
          <w:tcPr>
            <w:tcW w:type="dxa" w:w="396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约束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Web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React + TypeScript + Vite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严格模式；响应式；可访问性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组件</w:t>
            </w:r>
          </w:p>
        </w:tc>
        <w:tc>
          <w:tcPr>
            <w:tcW w:type="dxa" w:w="340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shadcn/ui + Tailwind CSS</w:t>
            </w:r>
          </w:p>
        </w:tc>
        <w:tc>
          <w:tcPr>
            <w:tcW w:type="dxa" w:w="396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复用原语；业务组件与基础 UI 分离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图表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TradingView Lightweight Charts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通过内部适配层接入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API</w:t>
            </w:r>
          </w:p>
        </w:tc>
        <w:tc>
          <w:tcPr>
            <w:tcW w:type="dxa" w:w="340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NestJS</w:t>
            </w:r>
          </w:p>
        </w:tc>
        <w:tc>
          <w:tcPr>
            <w:tcW w:type="dxa" w:w="396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控制面，不执行重型量化计算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引擎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Python + Polars/DuckDB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类型完整；批流语义一致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工程</w:t>
            </w:r>
          </w:p>
        </w:tc>
        <w:tc>
          <w:tcPr>
            <w:tcW w:type="dxa" w:w="3402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Turborepo + pnpm + uv</w:t>
            </w:r>
          </w:p>
        </w:tc>
        <w:tc>
          <w:tcPr>
            <w:tcW w:type="dxa" w:w="396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锁文件提交；版本精确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可观测</w:t>
            </w:r>
          </w:p>
        </w:tc>
        <w:tc>
          <w:tcPr>
            <w:tcW w:type="dxa" w:w="3402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OpenTelemetry + Prometheus + Grafana + Loki</w:t>
            </w:r>
          </w:p>
        </w:tc>
        <w:tc>
          <w:tcPr>
            <w:tcW w:type="dxa" w:w="396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统一 request/trace ID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4.2 目标目录</w:t>
      </w:r>
    </w:p>
    <w:p>
      <w:pPr>
        <w:spacing w:after="160"/>
      </w:pPr>
      <w:r>
        <w:rPr>
          <w:rFonts w:ascii="Aptos" w:hAnsi="Aptos" w:eastAsia="Cascadia Mono"/>
          <w:b w:val="0"/>
          <w:i w:val="0"/>
          <w:color w:val="1F2933"/>
          <w:sz w:val="17"/>
        </w:rPr>
        <w:t>kunlun-alpha/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apps/                 # web、api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services/             # market/intelligence/quant/data/notification/risk/execution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python/packages/      # common、contracts 与各领域 core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packages/             # ui、contracts、shared-types、api-client、config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infra/                # docker、db、object storage、observability、deployment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research/             # notebooks、experiments、evaluations、reports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data/                 # fixtures 与脱敏 samples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├─ docs/                 # architecture、ADR、runbook、algorithm、compliance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└─ scripts/              # 跨平台开发、CI 和运维入口</w:t>
        <w:br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5. 统一开发规范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5.1 版本与依赖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节点启动时解析最新稳定版，随后写入版本基线并锁定。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禁止 alpha、beta、RC、nightly 与 Docker latest。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JavaScript 使用精确版本并提交 pnpm-lock.yaml；Python 提交 uv.lock。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依赖升级作为独立节点，必须有变更、兼容性、测试和回滚说明。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5.2 LF 与三端兼容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除显式 Windows 批处理外，全部文本使用 UTF-8 + LF。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使用跨平台路径 API，不硬编码盘符、斜杠、主目录或 /tmp。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脚本优先采用跨平台 Node/Python；三端入口命令保持一致。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CI 至少 Linux 全量，Windows/macOS 验证 bootstrap、lint、typecheck 和核心测试。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5.3 TypeScript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tsconfig 开启 strict、noUncheckedIndexedAccess 等安全选项。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禁止无理由 any；外部输入先以 unknown 接收并验证。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API 请求封装在生成客户端或 feature service，不在页面拼接 URL。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模块导出通过显式 public API，禁止深层路径穿透。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5.4 Python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公共函数、类和领域边界使用完整类型标注并通过 Pyright。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I/O 与纯计算分离；算法优先纯函数和不可变输入。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金额与价格使用 Decimal/整数最小单位；时间使用 timezone-aware datetime。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禁止把 Notebook 代码直接复制为生产服务。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5.5 测试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默认 TDD：失败测试 → 最小实现 → 通过 → 重构。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每节点覆盖正常、边界、失败三类路径。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外部 Provider、对象存储、LLM 和券商提供契约化模拟实现。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测试禁止真实网络、真实账户和不可控当前时间。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5.6 Git 与评审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Conventional Commits；提交聚焦并在正文引用节点 ID。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禁止无关格式化、依赖升级或大范围重构混入业务节点。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提交前运行格式、静态分析、窄测试和受影响包测试。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WorkBuddy 提交证据包；Codex 审核通过后才进入依赖节点。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5.7 安全与隐私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密钥只进入 Secret 管理；示例配置使用不可用占位值。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日志默认脱敏账户、Token、Cookie、手机号与原始敏感内容。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权限最小化；模拟与实盘凭证、数据库和网络边界分离。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依赖、镜像和许可证扫描进入 CI。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5.8 可观测性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日志结构化并包含 service、version、request_id、trace_id。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指标控制基数；证券代码通常不作为长期 Prometheus 标签。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任务、数据延迟、队列、错误率与外部 Provider 限流均有告警。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Runbook 与告警规则同时交付。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5.9 shadcn/ui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基础组件只从 components/ui 复用或按 shadcn 方式纳入代码库。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业务组件不修改基础原语的语义和可访问性。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所有页面提供 loading、empty、error、forbidden 状态。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暗色、键盘、焦点、窄屏和高密度表格纳入视觉验收。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5.10 Definition of Done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门禁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通过条件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范围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仅实现当前节点，非目标未被提前带入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代码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边界清晰、类型完整、无秘密、无平台硬编码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测试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失败证据、通过证据、边界/失败路径完整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质量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format、lint、typecheck、test、build 全部通过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文档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契约、ADR、配置样例、Runbook 与变更同步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审核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WorkBuddy 证据包完整，Codex 无未解决阻断问题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6. 数据与领域设计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4819"/>
        <w:gridCol w:w="2268"/>
      </w:tblGrid>
      <w:tr>
        <w:trPr>
          <w:tblHeader w:val="true"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核心对象</w:t>
            </w:r>
          </w:p>
        </w:tc>
        <w:tc>
          <w:tcPr>
            <w:tcW w:type="dxa" w:w="481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关键语义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主要落点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Instrument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symbol、exchange、board、list/delist、ST、limit rule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PostgreSQL + 合约</w:t>
            </w:r>
          </w:p>
        </w:tc>
      </w:tr>
      <w:tr>
        <w:tc>
          <w:tcPr>
            <w:tcW w:type="dxa" w:w="198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MarketEmotionSnapshot</w:t>
            </w:r>
          </w:p>
        </w:tc>
        <w:tc>
          <w:tcPr>
            <w:tcW w:type="dxa" w:w="481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涨跌停、炸板、连板、晋级率、溢价、score_version</w:t>
            </w:r>
          </w:p>
        </w:tc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ClickHouse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SectorSnapshot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涨速、成交额、宽度、龙头、rotation/hot/emotion score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ClickHouse</w:t>
            </w:r>
          </w:p>
        </w:tc>
      </w:tr>
      <w:tr>
        <w:tc>
          <w:tcPr>
            <w:tcW w:type="dxa" w:w="198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RotationEvent</w:t>
            </w:r>
          </w:p>
        </w:tc>
        <w:tc>
          <w:tcPr>
            <w:tcW w:type="dxa" w:w="481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from、to、event_time、confidence、evidence window</w:t>
            </w:r>
          </w:p>
        </w:tc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ClickHouse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MarketEvent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type、sentiment、impact、topics、stocks、evidence、model_version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PostgreSQL/ClickHouse</w:t>
            </w:r>
          </w:p>
        </w:tc>
      </w:tr>
      <w:tr>
        <w:tc>
          <w:tcPr>
            <w:tcW w:type="dxa" w:w="198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HotTopic</w:t>
            </w:r>
          </w:p>
        </w:tc>
        <w:tc>
          <w:tcPr>
            <w:tcW w:type="dxa" w:w="481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窗口聚合、HotScore、生命周期、证据</w:t>
            </w:r>
          </w:p>
        </w:tc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ClickHouse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SeatProfile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stable seat_id、alias、trade、performance、preference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PostgreSQL/ClickHouse</w:t>
            </w:r>
          </w:p>
        </w:tc>
      </w:tr>
      <w:tr>
        <w:tc>
          <w:tcPr>
            <w:tcW w:type="dxa" w:w="198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KolClaim</w:t>
            </w:r>
          </w:p>
        </w:tc>
        <w:tc>
          <w:tcPr>
            <w:tcW w:type="dxa" w:w="481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claim type、direction、time、evidence、confidence</w:t>
            </w:r>
          </w:p>
        </w:tc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PostgreSQL/对象存储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PreciousMetalsFund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fundAssetClass、underlying commodity、NAV/iNAV、premium/discount、benchmark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PostgreSQL/ClickHouse</w:t>
            </w:r>
          </w:p>
        </w:tc>
      </w:tr>
      <w:tr>
        <w:tc>
          <w:tcPr>
            <w:tcW w:type="dxa" w:w="198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FeatureValue</w:t>
            </w:r>
          </w:p>
        </w:tc>
        <w:tc>
          <w:tcPr>
            <w:tcW w:type="dxa" w:w="4819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entity、event_time、available_time、name、version、value</w:t>
            </w:r>
          </w:p>
        </w:tc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Redis/ClickHouse/Parquet</w:t>
            </w:r>
          </w:p>
        </w:tc>
      </w:tr>
      <w:tr>
        <w:tc>
          <w:tcPr>
            <w:tcW w:type="dxa" w:w="198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OrderIntent</w:t>
            </w:r>
          </w:p>
        </w:tc>
        <w:tc>
          <w:tcPr>
            <w:tcW w:type="dxa" w:w="4819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strategy、account、symbol、side、qty/target、reason</w:t>
            </w:r>
          </w:p>
        </w:tc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业务数据库</w:t>
            </w:r>
          </w:p>
        </w:tc>
      </w:tr>
    </w:tbl>
    <w:p>
      <w:pPr>
        <w:spacing w:before="0" w:after="60" w:line="283" w:lineRule="auto"/>
      </w:pP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B88746"/>
                <w:sz w:val="21"/>
              </w:rPr>
              <w:t xml:space="preserve">时间语义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必须区分 event_time、publish_time、ingest_time、available_time 和 processing_time。回测与特征 as-of 查询只允许使用 available_time 不晚于决策时刻的数据。</w:t>
            </w:r>
          </w:p>
        </w:tc>
      </w:tr>
    </w:tbl>
    <w:p>
      <w:pPr>
        <w:spacing w:before="0" w:after="60" w:line="283" w:lineRule="auto"/>
      </w:pP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4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E668D"/>
                <w:sz w:val="21"/>
              </w:rPr>
              <w:t xml:space="preserve">版本语义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emotion_score_v1、HotScore V1、FeatureSpec、Prompt、Schema、DatasetManifest 和回测运行清单均不可变。语义改变必须新增版本。</w:t>
            </w:r>
          </w:p>
        </w:tc>
      </w:tr>
    </w:tbl>
    <w:p>
      <w:pPr>
        <w:spacing w:before="0" w:after="60" w:line="283" w:lineRule="auto"/>
      </w:pP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7EA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B88746"/>
                <w:sz w:val="21"/>
              </w:rPr>
              <w:t xml:space="preserve">贵金属范围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首版只支持交易所上市的黄金及数据源可识别的白银相关 ETF/基金。NAV/iNAV 是点时研究参考值，不是成交价；现货、期货、保证金、换月、交割和实物业务必须另行设计。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7. 分阶段路线图</w:t>
      </w:r>
    </w:p>
    <w:tbl>
      <w:tblPr>
        <w:tblStyle w:val="TableGrid"/>
        <w:tblW w:type="dxa" w:w="9070"/>
        <w:jc w:val="left"/>
        <w:tblLayout w:type="fixed"/>
        <w:tblLook w:firstColumn="1" w:firstRow="1" w:lastColumn="0" w:lastRow="0" w:noHBand="0" w:noVBand="1" w:val="04A0"/>
      </w:tblPr>
      <w:tblGrid>
        <w:gridCol w:w="1134"/>
        <w:gridCol w:w="2551"/>
        <w:gridCol w:w="1020"/>
        <w:gridCol w:w="4365"/>
      </w:tblGrid>
      <w:tr>
        <w:trPr>
          <w:tblHeader w:val="true"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核心目标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节点数</w:t>
            </w:r>
          </w:p>
        </w:tc>
        <w:tc>
          <w:tcPr>
            <w:tcW w:type="dxa" w:w="436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退出门槛</w:t>
            </w:r>
          </w:p>
        </w:tc>
      </w:tr>
      <w:tr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0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工程基础设施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15</w:t>
            </w:r>
          </w:p>
        </w:tc>
        <w:tc>
          <w:tcPr>
            <w:tcW w:type="dxa" w:w="4365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新开发者能按文档完成启动；Web、API、Python 服务与基础设施健康；CI 全绿；仓库不存在任何实盘执行能力。</w:t>
            </w:r>
          </w:p>
        </w:tc>
      </w:tr>
      <w:tr>
        <w:tc>
          <w:tcPr>
            <w:tcW w:type="dxa" w:w="113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1</w:t>
            </w:r>
          </w:p>
        </w:tc>
        <w:tc>
          <w:tcPr>
            <w:tcW w:type="dxa" w:w="255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A 股与场内基金数据底座</w:t>
            </w:r>
          </w:p>
        </w:tc>
        <w:tc>
          <w:tcPr>
            <w:tcW w:type="dxa" w:w="1020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14</w:t>
            </w:r>
          </w:p>
        </w:tc>
        <w:tc>
          <w:tcPr>
            <w:tcW w:type="dxa" w:w="4365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数据可重放、校验和追溯；原始区不可变；股票、ETF、场内贵金属基金、时间、净值与复权口径统一；质量告警可见。</w:t>
            </w:r>
          </w:p>
        </w:tc>
      </w:tr>
      <w:tr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2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市场情绪与板块轮动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4365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同一输入可重算相同结果；算法版本可并存；分钟快照与轮动事件能历史回放。</w:t>
            </w:r>
          </w:p>
        </w:tc>
      </w:tr>
      <w:tr>
        <w:tc>
          <w:tcPr>
            <w:tcW w:type="dxa" w:w="113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3</w:t>
            </w:r>
          </w:p>
        </w:tc>
        <w:tc>
          <w:tcPr>
            <w:tcW w:type="dxa" w:w="255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新闻、事件与热点 Intelligence</w:t>
            </w:r>
          </w:p>
        </w:tc>
        <w:tc>
          <w:tcPr>
            <w:tcW w:type="dxa" w:w="1020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4365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任一事件可追溯原文和模型版本；离线评测可重复；AI 失败不会污染事实层。</w:t>
            </w:r>
          </w:p>
        </w:tc>
      </w:tr>
      <w:tr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4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龙虎榜席位与 KOL Intelligence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10</w:t>
            </w:r>
          </w:p>
        </w:tc>
        <w:tc>
          <w:tcPr>
            <w:tcW w:type="dxa" w:w="4365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别名解析、证据等级与绩效计算均可追溯；Claim 与真实成交语义严格分离。</w:t>
            </w:r>
          </w:p>
        </w:tc>
      </w:tr>
      <w:tr>
        <w:tc>
          <w:tcPr>
            <w:tcW w:type="dxa" w:w="113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5</w:t>
            </w:r>
          </w:p>
        </w:tc>
        <w:tc>
          <w:tcPr>
            <w:tcW w:type="dxa" w:w="255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Feature Store、量化研究与回测</w:t>
            </w:r>
          </w:p>
        </w:tc>
        <w:tc>
          <w:tcPr>
            <w:tcW w:type="dxa" w:w="1020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14</w:t>
            </w:r>
          </w:p>
        </w:tc>
        <w:tc>
          <w:tcPr>
            <w:tcW w:type="dxa" w:w="4365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在线/离线特征一致；数据集可复现；贵金属 NAV/iNAV 不被视为成交价；回测无未来函数并通过会计、订单和回归测试。</w:t>
            </w:r>
          </w:p>
        </w:tc>
      </w:tr>
      <w:tr>
        <w:tc>
          <w:tcPr>
            <w:tcW w:type="dxa" w:w="1134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6</w:t>
            </w:r>
          </w:p>
        </w:tc>
        <w:tc>
          <w:tcPr>
            <w:tcW w:type="dxa" w:w="2551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智能决策终端与模拟组合</w:t>
            </w:r>
          </w:p>
        </w:tc>
        <w:tc>
          <w:tcPr>
            <w:tcW w:type="dxa" w:w="1020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13</w:t>
            </w:r>
          </w:p>
        </w:tc>
        <w:tc>
          <w:tcPr>
            <w:tcW w:type="dxa" w:w="4365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终端可用、贵金属基金数据时效/来源清晰、模拟链路可恢复与对账；所有建议可解释；系统仍不能触达真实账户。</w:t>
            </w:r>
          </w:p>
        </w:tc>
      </w:tr>
      <w:tr>
        <w:tc>
          <w:tcPr>
            <w:tcW w:type="dxa" w:w="1134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Phase 7</w:t>
            </w:r>
          </w:p>
        </w:tc>
        <w:tc>
          <w:tcPr>
            <w:tcW w:type="dxa" w:w="2551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QMT、独立风控与实盘交易</w:t>
            </w:r>
          </w:p>
        </w:tc>
        <w:tc>
          <w:tcPr>
            <w:tcW w:type="dxa" w:w="1020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12</w:t>
            </w:r>
          </w:p>
        </w:tc>
        <w:tc>
          <w:tcPr>
            <w:tcW w:type="dxa" w:w="4365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所有法规/券商要求已复核；纸面与真实环境隔离；灾难演练通过；人工批准后才允许小资金实盘。</w:t>
            </w:r>
          </w:p>
        </w:tc>
      </w:tr>
    </w:tbl>
    <w:p>
      <w:pPr>
        <w:spacing w:before="0" w:after="60" w:line="283" w:lineRule="auto"/>
      </w:pP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6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21"/>
              </w:rPr>
              <w:t xml:space="preserve">计划规模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共 98 个原子开发节点。节点通常为 0.5–2 个开发日；实际排期应在领取节点时依据代码现状重新估算，不得把整阶段一次性交给 WorkBuddy。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 原子开发节点</w:t>
      </w:r>
    </w:p>
    <w:p>
      <w:pPr>
        <w:spacing w:before="0" w:after="12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本章是 WorkBuddy 的权威任务目录。默认采用阶段内顺序依赖；若节点明确只依赖更早公共契约，可在 Codex 确认后并行。任何并行不得共享未稳定接口。</w:t>
      </w: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8.1 Phase 0 — 工程基础设施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建立可在 Windows、macOS、Linux 上一致运行的 Monorepo、质量门禁、基础服务与可观测性。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新开发者能按文档完成启动；Web、API、Python 服务与基础设施健康；CI 全绿；仓库不存在任何实盘执行能力。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初始化仓库治理文件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建立根目录、许可证、README、忽略规则与贡献约定。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已批准的项目设计稿；无代码前置依赖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README.md、CONTRIBUTING.md、.gitignore、docs/adr/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项目入口、开发原则、ADR 模板和目录责任说明。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三端均可读取；无密钥或机器路径；文档链接有效。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避免把暂定架构写成不可修改的永久约束。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feat(p0-n01): 初始化仓库治理文件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统一 LF 与 EditorConfig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用统一配置消除跨平台换行和缩进差异。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.editorconfig、.gitattributes、scripts/check-line-endings.*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LF/UTF-8 基线、Makefile 与批处理例外、CI 检查入口。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故意写入 CRLF 的普通文本会被检查拒绝；三端行为一致。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注意 Markdown 尾随空格和二进制文件误判。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feat(p0-n02): 统一 LF 与 EditorConfig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锁定运行时与包管理器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解析并锁定实施时最新稳定的 Node.js、pnpm、Python、uv。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.node-version、package.json、pyproject.toml、.python-version、docs/versions.md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版本基线、升级策略和验证命令。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错误版本启动时得到清晰提示；禁止预发布和浮动版本。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不要在后续业务节点顺带升级。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feat(p0-n03): 锁定运行时与包管理器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初始化 Turborepo 与 pnpm workspace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建立 TypeScript 工作区和统一任务图。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package.json、pnpm-workspace.yaml、turbo.json、packages/config/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dev/build/test/lint/typecheck 任务及缓存边界。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空工作区全量命令成功，缓存不包含密钥和运行态数据。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任务依赖方向必须与模块边界一致。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feat(p0-n04): 初始化 Turborepo 与 pnpm workspace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初始化 uv Python workspace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建立服务与领域包分离的 Python 工作区。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pyproject.toml、uv.lock、python/packages/、services/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 lint/typecheck/test 命令和最小示例包。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uv sync 与测试在三端路径规则下可运行。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禁止服务包反向成为通用领域依赖。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feat(p0-n05): 初始化 uv Python workspace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创建 React Web 骨架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建立 Vite、React、严格 TypeScript 与路由外壳。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apps/web/、packages/shared-types/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可访问的应用壳、错误边界、路由和环境配置。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加载、404、运行错误和无配置状态有测试。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浏览器环境变量不得泄露服务端密钥。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feat(p0-n06): 创建 React Web 骨架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shadcn/ui 设计基线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统一颜色、字体、间距、暗色模式和基础组件策略。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apps/web/components/ui/、apps/web/styles/、components.json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Button、Dialog、Form、Table、Toast 等受控基础组件。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键盘、焦点、暗色和响应式检查通过。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禁止建立与 shadcn/ui 竞争的第二套基础组件。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feat(p0-n07): 建立 shadcn/ui 设计基线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创建 NestJS API 骨架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建立配置、健康检查、日志、异常和版本化路由。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apps/api/src/、packages/contracts/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健康端点、统一错误响应、请求 ID 和 OpenAPI 基线。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启动、错误映射、配置缺失和关闭流程测试通过。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控制面不能承担量化计算。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feat(p0-n08): 创建 NestJS API 骨架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创建 Python 服务骨架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为 Engine 和 Worker 提供一致生命周期。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services/*/src/、python/packages/ashare-common/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配置、日志、健康检查、优雅关闭和任务入口。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服务可独立启动并在终止信号后安全退出。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不要复制配置和日志实现。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feat(p0-n09): 创建 Python 服务骨架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建立跨语言契约流水线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定义 JSON Schema/OpenAPI 并生成 TypeScript/Python 类型。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packages/contracts/、python/packages/ashare-contracts/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契约版本、生成命令、兼容性检查和示例载荷。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生成结果可复现；破坏性变更会阻断 CI。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手写类型不得与生成契约并行漂移。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feat(p0-n10): 建立跨语言契约流水线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搭建本地数据基础设施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 Docker Compose 启动 PostgreSQL、Redis、ClickHouse、MinIO。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P0-N10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infra/docker/、infra/*/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健康检查、持久卷、初始化脚本和示例配置。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全新环境可一键启动、停止并重复初始化。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默认凭证只能用于本地且必须显式标记。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feat(p0-n11): 搭建本地数据基础设施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搭建可观测性基础设施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统一追踪、指标和日志关联。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infra/prometheus/、infra/grafana/、infra/loki/、packages/observability/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OpenTelemetry 接入、基础仪表盘和告警规则。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一次请求可通过 trace/request ID 贯穿 Web、API 和 Python 服务。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控制标签基数，避免证券代码造成指标爆炸。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feat(p0-n12): 搭建可观测性基础设施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配置统一质量门禁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配置格式化、静态分析、单元测试和覆盖率。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eslint、prettier、ruff、pyright、vitest、jest、pytest 配置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根命令和包级命令，含失败示例验证。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格式、类型、测试任一失败均阻断合并。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避免仅为覆盖率数字编写无断言测试。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feat(p0-n13): 配置统一质量门禁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CI 三端矩阵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验证核心工具在 Linux、Windows、macOS 的一致性。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.github/workflows/ci.yml、scripts/ci/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缓存、分层任务、行尾检查和构建产物检查。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Linux 全量通过；Windows/macOS 至少验证 bootstrap、lint、typecheck、核心测试。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不要依赖 Bash 专属语法。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feat(p0-n14): 建立 CI 三端矩阵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P0-N15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完成开发者启动手册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让无上下文开发者可重复搭建环境。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docs/development/、.env.example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安装、启动、故障排查、端口与数据重置说明。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在干净机器或容器中按文档完成演练。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文档不得包含真实凭证或个人目录。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P0-N15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feat(p0-n15): 完成开发者启动手册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8.2 Phase 1 — A 股与场内基金数据底座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建立统一证券/基金主数据、交易日历、Provider 抽象、可追溯数据流水线与质量体系。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数据可重放、校验和追溯；原始区不可变；股票、ETF、场内贵金属基金、时间、净值与复权口径统一；质量告警可见。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定义证券主数据契约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定义 Instrument、Exchange、Board、TradingStatus 与统一代码。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0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packages/contracts/instrument/、python/packages/market-core/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跨语言模型、代码解析器和示例数据。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有效与无效代码、退市、ST、ETF 和板块规则测试通过。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禁止多种代码格式进入领域层。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feat(p1-n01): 定义证券主数据契约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定义交易日历契约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统一交易日、交易时段、节假日和临时休市。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contracts/calendar/、market-core/calendar/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CalendarProvider、会话查询和时区规则。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跨午夜、午休、节假日和边界时刻测试通过。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不可用自然日替代交易日。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feat(p1-n02): 定义交易日历契约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定义行情与公司行动契约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定义 OHLCV、逐笔/分钟边界、复权因子和公司行动。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contracts/market-data/、market-core/models/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精度明确的行情模型与校验规则。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价格、数量、金额、停牌和复权样例通过。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研究价格与真实成交价格必须分离。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feat(p1-n03): 定义行情与公司行动契约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Provider 接口族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为证券、日历、行情、板块、新闻等定义独立适配器。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market-core/providers/、ashare-contracts/providers/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能力声明、错误分类、限流和游标接口。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模拟 Provider 的契约测试覆盖超时、限流和空页。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引擎不得依赖具体数据商 SDK。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feat(p1-n04): 建立 Provider 接口族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实现原始数据落地区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把每次外部响应按来源和日期不可变保存。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services/data-worker/raw/、infra/minio/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RawObjectManifest、校验和、压缩和重放入口。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重复抓取不会覆盖原始对象；清单可定位来源与请求。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原始区不得混入规范化结果。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feat(p1-n05): 实现原始数据落地区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实现证券主数据采集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通过首个 Provider 完成全量与增量证券同步。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services/data-worker/jobs/instruments/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采集任务、检查点、失败重试和差异报告。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重复运行幂等；新增、变更、退市均有审计记录。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不得以名称作为证券唯一键。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feat(p1-n06): 实现证券主数据采集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实现交易日历采集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同步交易所日历并提供缺口检测。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services/data-worker/jobs/calendars/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日历版本、来源追踪和手工修正审计。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缺失日期、冲突来源和临时休市产生告警。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手工修正不能静默覆盖来源数据。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feat(p1-n07): 实现交易日历采集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实现行情规范化与校验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统一字段、精度、时区和异常分类。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data-worker/normalize/、market-core/validation/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Normalizer、Validator、拒绝区和质量事件。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乱序、重复、负价格、异常成交量与缺列测试通过。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异常数据不得悄悄丢弃。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feat(p1-n08): 实现行情规范化与校验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PostgreSQL 业务模型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保存 Provider、任务、检查点、数据版本和质量事件。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apps/api/migrations/、packages/db/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迁移、回滚和仓储接口。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空库升级、回滚、重复迁移和约束测试通过。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不要把高频行情写入 PostgreSQL。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feat(p1-n09): 建立 PostgreSQL 业务模型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ClickHouse 行情模型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设计分钟/日线、公司行动和查询分区。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infra/clickhouse/migrations/、market-core/storage/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表结构、排序键、TTL 策略和写入器。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批量写入幂等；典型区间查询达到基线。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排序键需匹配主要查询，避免过度分区。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feat(p1-n10): 建立 ClickHouse 行情模型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P1-N11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实现增量调度与恢复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调度采集任务并从检查点恢复。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P1-N10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data-worker/scheduler/、apps/api/jobs/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任务状态机、租约、退避和死信处理。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进程中断后不重写已确认数据，失败可重放。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重试必须区分永久错误与暂时错误。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feat(p1-n11): 实现增量调度与恢复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P1-N12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建立数据质量与对账面板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可视化覆盖率、延迟、重复、缺口和来源差异。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apps/api/modules/data-quality/、apps/web/features/data-quality/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质量 API、告警和 shadcn/ui 状态页。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可按日期、来源、证券定位问题并链接原始证据。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面板不能只展示总量而隐藏异常明细。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feat(p1-n12): 建立数据质量与对账面板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P1-N13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定义场内贵金属基金契约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在统一 Instrument/基金模型中定义黄金及白银相关场内 ETF/基金分类。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packages/contracts/funds/、python/packages/market-core/funds/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fundAssetClass、underlyingCommodity、币种、基准、费率、有效期和来源契约。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GOLD/SILVER/OTHER、未知分类、币种不一致和历史有效期测试通过。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不得仅凭产品名称猜测底层商品，也不得引入现货或期货语义。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feat(p1-n13): 定义场内贵金属基金契约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P1-N14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采集贵金属基金元数据与净值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采集、校验、存储并监控场内贵金属基金元数据、NAV 和 iNAV。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services/data-worker/jobs/precious-metals-funds/、market-core/funds/validation/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Provider 能力、原始清单、规范化记录、溢折价校验、时效告警和质量面板。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负值、过期 NAV/iNAV、来源冲突、重复记录和可用时间边界测试通过。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NAV/iNAV 不能被标记为可成交价格，缺失字段不得静默推断。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P1-N14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feat(p1-n14): 采集贵金属基金元数据与净值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8.3 Phase 2 — 市场情绪与板块轮动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把 A 股涨跌停、连板、溢价和板块资金变化转化为确定性、版本化、可回放的市场状态。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同一输入可重算相同结果；算法版本可并存；分钟快照与轮动事件能历史回放。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定义涨跌停事实模型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建模涨停、跌停、炸板、首封、末封和开板次数。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1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emotion-core/models/、contracts/emotion/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LimitEvent 与 LimitPoolSnapshot 契约。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ST、不同板块涨跌幅和无价格情形测试通过。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涨停判断必须基于当日规则而非固定百分比。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feat(p2-n01): 定义涨跌停事实模型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构建涨跌停池计算器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从规范化行情生成分钟事实与日终事实。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emotion-core/limit_pool/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纯函数计算器、增量聚合器和测试夹具。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重放与实时输入结果一致；乱序事件可纠正。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不可把展示排序混入事实计算。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feat(p2-n02): 构建涨跌停池计算器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实现连板梯队与晋级率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计算几天几板、最高板、1进2 等指标。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emotion-core/ladder/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BoardLadderSnapshot 与历史晋级统计。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停牌、断板、跨交易日和新股样例正确。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交易日连续性不能用自然日判断。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feat(p2-n03): 实现连板梯队与晋级率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实现昨日溢价与亏钱效应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计算昨日涨停/连板表现和高位回撤。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emotion-core/premium/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可配置观察窗口和无偏样本规则。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幸存者偏差、停牌和一字板处理有测试。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不得使用当时不可获得的收盘后字段。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feat(p2-n04): 实现昨日溢价与亏钱效应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定义情绪评分 V1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用确定性标准化和权重组合生成分项与总分。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emotion-core/scoring/v1/、docs/algorithms/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emotion_score_v1、权重配置和解释字段。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固定样本得到固定分数；缺失数据降级规则明确。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版本升级不得覆盖旧分数。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feat(p2-n05): 定义情绪评分 V1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建立板块主数据与映射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统一行业、概念、题材、股票与 ETF 关系。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rotation-core/taxonomy/、contracts/sector/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层级、别名、有效期和来源优先级。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多归属、别名冲突和历史变更可追溯。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不要把临时热点永久写入固定行业分类。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feat(p2-n06): 建立板块主数据与映射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计算 SectorSnapshot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按分钟计算涨幅、速度、成交额、宽度、龙头与强度。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rotation-core/snapshot/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版本化 SectorSnapshot 与批流一致接口。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成分变更、缺行情和异常成交量测试通过。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聚合必须使用当时有效的成分集合。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feat(p2-n07): 计算 SectorSnapshot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定义板块生命周期状态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输出启动、发酵、加速、高潮、分歧、修复、退潮、冰点。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rotation-core/lifecycle/v1/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状态机、阈值配置、转换原因和置信度。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非法跳转被拒绝；回放结果可解释。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状态标签不能只由单一涨幅阈值决定。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feat(p2-n08): 定义板块生命周期状态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检测 RotationEvent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识别板块强度首次交叉、持续领先和快速衰退。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rotation-core/events/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from/to、时间、置信度、证据窗口。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抖动去噪、并列、短暂超越和回撤测试通过。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避免每分钟重复产生同一事件。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feat(p2-n09): 检测 RotationEvent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P2-N10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提供情绪与轮动回放终端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通过 API 和 shadcn/ui 展示快照、梯队和时间轴。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apps/api/modules/emotion/、apps/web/features/market-regime/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查询 API、分钟时间轴、筛选与错误状态。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任意历史交易日可回放并展示算法版本。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实时与历史接口的口径必须一致。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P2-N10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feat(p2-n10): 提供情绪与轮动回放终端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8.4 Phase 3 — 新闻、事件与热点 Intelligence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将新闻、政策、公告和社交内容转换为带证据、版本和置信度的事件与热点。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任一事件可追溯原文和模型版本；离线评测可重复；AI 失败不会污染事实层。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 RawContent 与来源策略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统一新闻、公告、研报、互动和社交内容。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2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event-core/content/、contracts/content/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来源、发布时间、抓取时间、正文指纹和许可元数据。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 URL、转载、更新时间和删除状态测试通过。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必须保留来源和使用限制。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feat(p3-n01): 定义 RawContent 与来源策略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实现内容规范化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清理编码、HTML、时间、作者和附件元数据。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intelligence-engine/normalize/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可逆清洗记录和规范化文本。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乱码、空正文、附件和超长内容有确定处理。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不能丢失影响证据定位的原始偏移信息。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feat(p3-n02): 实现内容规范化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实现近重复检测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组合哈希、标题和语义相似度识别转载。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event-core/dedup/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内容簇、主记录和阈值评估集。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相同事件不同来源可聚类且保留各自证据。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不要把不同公司同类公告误合并。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feat(p3-n03): 实现近重复检测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建立实体识别与证券解析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抽取公司、证券、机构、人物、政策和地区。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event-core/entities/、market-core/resolver/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候选、消歧、置信度和人工覆盖。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简称、曾用名、同名公司和多证券映射测试通过。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低置信度不得强制绑定股票。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feat(p3-n04): 建立实体识别与证券解析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 MarketEvent 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统一事件类型、情绪、影响、主题、证券和证据。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contracts/event/、event-core/models/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版本化事件模式与兼容性样例。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每个结论均能链接证据片段和来源。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模型输出不能绕过结构校验。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feat(p3-n05): 定义 MarketEvent 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Prompt 与模型注册表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管理提示词、模型、参数、成本和输出模式。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intelligence-engine/llm/registry/、docs/prompts/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不可变版本、灰度配置和回滚能力。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同一版本可复现实验；敏感配置不入库。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不得用未登记提示词直接写生产数据。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feat(p3-n06): 建立 Prompt 与模型注册表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实现事件抽取流水线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批量/实时抽取类型、情绪、影响和主题映射。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intelligence-engine/pipelines/events/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队列消费者、验证、重试、拒绝区和审计。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无效 JSON、超时、限流和低置信度路径测试通过。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AI 错误必须可隔离和重跑。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feat(p3-n07): 实现事件抽取流水线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 HotTopic 聚合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按窗口聚合事件、市场表现、成交额和社交热度。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hotspot-core/aggregation/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HotTopic、HotScore V1 和生命周期状态。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窗口边界、重复内容和稀疏数据结果稳定。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事件数量不能直接等同热点强度。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feat(p3-n08): 实现 HotTopic 聚合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建立离线评测与反馈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用标注集评估实体、事件、情绪和映射质量。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research/evaluations/events/、apps/api/modules/feedback/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指标、错误切片、反馈闭环和版本对比。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评测数据冻结；新版本必须与基线对比。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避免把线上反馈直接作为未经审核的真值。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feat(p3-n09): 建立离线评测与反馈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P3-N10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构建事件与热点工作台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展示热点排行、事件时间轴、证据和置信度。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apps/web/features/intelligence/、apps/api/modules/intelligence/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shadcn/ui 列表、详情、筛选、反馈和证据链接。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无证据结果不可显示为确定事实；四类页面状态完整。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UI 必须区分事实、推断和低置信度结论。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P3-N10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feat(p3-n10): 构建事件与热点工作台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8.5 Phase 4 — 龙虎榜席位与 KOL Intelligence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建立可审计的席位知识库和 KOL 公开 Claim 体系，并产生可回测特征。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别名解析、证据等级与绩效计算均可追溯；Claim 与真实成交语义严格分离。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定义席位领域模型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建模 SeatProfile、Alias、Trade、Performance 和 Preference。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3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seat-core/models/、contracts/seat/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版本化契约、稳定 seat_id 和有效期。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名称变更、机构席位、未知席位和合并拆分测试通过。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原始营业部名称不能作为唯一 ID。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feat(p4-n01): 定义席位领域模型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实现席位别名解析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用规则、相似度和人工审核统一多来源名称。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seat-core/resolution/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候选匹配、置信度、审核队列和审计日志。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黄金样本准确率达到文档阈值，低置信度不自动合并。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错误合并会污染全部历史统计。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feat(p4-n02): 实现席位别名解析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实现龙虎榜采集与规范化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采集席位买卖、上榜原因和证券事实。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data-worker/jobs/seats/、seat-core/normalize/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不可变原始记录、规范化成交和来源证据。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重复榜单、修订、净额与买卖分项对账通过。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净买入不能替代原始买卖明细。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feat(p4-n03): 实现龙虎榜采集与规范化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计算席位绩效特征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计算 T+1/T+3/T+5、胜率、回撤和风格偏好。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seat-core/features/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带样本数、窗口和口径版本的特征。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停牌、涨跌停、复权和小样本处理有测试。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必须展示样本量，禁止只展示胜率。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feat(p4-n04): 计算席位绩效特征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计算席位共现特征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分析席位组合与主题共现后的历史表现。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seat-core/cooccurrence/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组合键、支持度、收益分布和置信区间。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组合顺序归一、稀疏样本和多席位事件处理正确。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防止组合爆炸与选择偏差。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feat(p4-n05): 计算席位共现特征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 KOL 内容与 Claim 模型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区分 Mention、Claim、Evidence、PositionClaim 与事实。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kol-core/models/、contracts/kol/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证据等级、方向、时间、证券和不确定性字段。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模糊表达、转述、回顾性陈述和删除内容测试通过。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绝不能把 Claim 命名或展示为真实 Trade。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feat(p4-n06): 定义 KOL 内容与 Claim 模型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 ASR/OCR 内容管线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从公开视频、音频和截图提取可定位文本。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intelligence-engine/pipelines/media/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媒体清单、时间码/坐标证据、质量分和重试。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低质量、无声、重复帧和超长媒体路径可恢复。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保留版权、来源和删除策略元数据。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feat(p4-n07): 建立 ASR/OCR 内容管线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 KOL Claim 抽取与审核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抽取买入、卖出、持仓、关注和否定声明。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kol-core/extraction/、apps/api/modules/review/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结构校验、证据定位、置信度和人工复核。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否定、条件句、引用他人和时间指代样本通过。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低置信度 Claim 不得进入高等级特征。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feat(p4-n08): 实现 KOL Claim 抽取与审核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计算 KOL 绩效与共识特征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按公开时点跟踪后续收益、注意力与共识。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kol-core/performance/、feature-core/kol/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kol_attention_score、consensus_score、claim_score。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发布时间、可交易时点、停牌和删除内容口径明确。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防止用内容发布日期之后的修订文本回填。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feat(p4-n09): 计算 KOL 绩效与共识特征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P4-N10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构建席位与 KOL 工作台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展示档案、证据、统计、共现和审核队列。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apps/web/features/seat-kol/、apps/api/modules/seat-kol/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shadcn/ui 详情页、时间轴、筛选、样本量和证据视图。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所有指标显示版本、样本数和数据截止时间。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UI 不得暗示 KOL Claim 是券商成交事实。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P4-N10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feat(p4-n10): 构建席位与 KOL 工作台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8.6 Phase 5 — Feature Store、量化研究与回测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统一特征定义，保证点时正确性，并建立符合 A 股与场内基金约束的研究和事件驱动回测能力。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在线/离线特征一致；数据集可复现；贵金属 NAV/iNAV 不被视为成交价；回测无未来函数并通过会计、订单和回归测试。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 FeatureSpec 注册表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统一特征名称、实体、频率、版本、依赖和有效时点。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4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feature-core/registry/、contracts/feature/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FeatureSpec、注册验证和依赖图。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重复名称、循环依赖、版本冲突和缺少所有者会失败。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特征语义变更必须升版本。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feat(p5-n01): 定义 FeatureSpec 注册表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实现批量特征计算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从 ClickHouse/Parquet 生成历史特征。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feature-core/batch/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分区计算、检查点、元数据和幂等写入。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同一输入与版本产生相同输出和校验和。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避免在计算中隐式读取未来分区。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feat(p5-n02): 实现批量特征计算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实现实时特征计算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消费行情和领域事件生成 Redis 在线特征。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feature-core/online/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事件时间窗口、迟到数据、TTL 和降级策略。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乱序、重复、迟到与重启恢复测试通过。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处理时间不能替代事件时间。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feat(p5-n03): 实现实时特征计算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建立历史特征存储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 ClickHouse 保存版本化、点时可查询的特征。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infra/clickhouse/feature-migrations/、feature-core/storage/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实体/时间/版本排序与批量查询接口。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as-of 查询不会返回未来可见值。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主键与分区需控制高基数。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feat(p5-n04): 建立历史特征存储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建立研究数据集导出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导出带清单和校验和的 Parquet 数据集。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feature-core/datasets/、research/datasets/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DatasetManifest、分区、来源和可重建命令。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任意实验可由清单重建并核对哈希。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训练与评测分区不得混淆。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feat(p5-n05): 建立研究数据集导出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建立点时正确性测试库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自动检测未来函数、修订泄漏和幸存者偏差。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feature-core/tests/point_in_time/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合成场景、冻结时钟和反例测试。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注入未来数据时测试必须失败。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仅比较时间戳不足以发现修订数据泄漏。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feat(p5-n06): 建立点时正确性测试库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建立因子研究工具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支持分层、IC、Rank IC、相关性、衰减和换手。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quant-core/research/factors/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统一结果对象、图表数据和统计检验。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常数、缺失、极值和小样本处理有测试。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报告必须同时展示样本与不确定性。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feat(p5-n07): 建立因子研究工具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建立事件研究工具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研究事件前后窗口的收益与横截面对照。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quant-core/research/events/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窗口定义、基准、聚类标准误和输出契约。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事件重叠、停牌和不可交易样本处理明确。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避免把事件发生后信息用于事件筛选。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feat(p5-n08): 建立事件研究工具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定义策略与信号 SDK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让策略只读取点时数据并产生 Signal。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quant-core/strategy/、contracts/strategy/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Strategy、Context、Signal、参数和生命周期接口。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策略无法访问未来数据或券商 API。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SDK 不得暴露 Execution 依赖。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feat(p5-n09): 定义策略与信号 SDK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实现事件驱动回测内核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处理时钟、事件队列、策略、组合和订单意图。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backtest-core/engine/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确定性事件循环、随机种子和运行清单。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同一清单重复运行结果逐项一致。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避免隐藏的全局状态和真实当前时间。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feat(p5-n10): 实现事件驱动回测内核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P5-N11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 A 股订单与成交模拟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模拟 T+1、整手、涨跌停、停牌、费用、滑点和部分成交。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P5-N10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backtest-core/execution/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Order、Fill、Fee、Slippage 和成交优先级模型。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每条交易约束都有独立失败测试和组合测试。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回测成交价不得使用不可成交价格。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feat(p5-n11): 实现 A 股订单与成交模拟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P5-N12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实现组合会计与绩效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管理现金冻结、持仓成本、公司行动和净值。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backtest-core/portfolio/、quant-core/metrics/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复式校验、PnL 分解、回撤、Sharpe/Sortino/Calmar。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现金+持仓+费用恒等式在每个事件后成立。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复权研究价不能直接修改真实现金流。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feat(p5-n12): 实现组合会计与绩效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P5-N13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建立回测回归与报告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保存可复现运行并生成对比报告。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services/quant-engine/、apps/api/modules/backtest/、apps/web/features/backtest/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运行清单、基准结果、差异告警和 shadcn/ui 报告页。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算法或依赖变化造成结果漂移时 CI 能提示。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不要用自动更新基准掩盖回归。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feat(p5-n13): 建立回测回归与报告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P5-N14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实现贵金属基金特征与回测夹具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构建点时正确的溢折价、跟踪、流动性及宏观敏感度特征。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feature-core/precious-metals/、backtest-core/tests/fixtures/precious-metals/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版本化 FeatureSpec、基准序列依赖、缺失降级、数据集清单和场内基金回测样例。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未来 NAV 修订、过期 iNAV、缺少基准和不可成交参考价反例测试通过。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不得模拟期货保证金、换月或交割，也不得用 NAV/iNAV 作为成交价。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P5-N14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feat(p5-n14): 实现贵金属基金特征与回测夹具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8.7 Phase 6 — 智能决策终端与模拟组合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把市场、贵金属基金、事件、席位、KOL、特征和策略结果整合为可解释终端，并在模拟账户完成完整交易闭环。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247B7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终端可用、贵金属基金数据时效/来源清晰、模拟链路可恢复与对账；所有建议可解释；系统仍不能触达真实账户。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建立终端信息架构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定义导航、路由、权限和跨模块筛选上下文。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5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apps/web/app/、docs/ui/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站点地图、路由契约、响应式导航和权限矩阵。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键盘导航、窄屏、无权限和深链接测试通过。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避免按后端服务名称组织用户导航。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feat(p6-n01): 建立终端信息架构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实现市场总览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展示指数、市场宽度、成交额、情绪和风险状态。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apps/web/features/dashboard/、apps/api/modules/dashboard/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可组合卡片、刷新策略和数据时效标识。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延迟、断流、空数据和历史模式显示明确。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不要把过期数据展示成实时。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feat(p6-n02): 实现市场总览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实现涨跌停与连板终端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展示池、梯队、晋级率和个股证据。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apps/web/features/limit-pool/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shadcn/ui 表格、筛选、详情抽屉和导出。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大数据量虚拟化、排序和无障碍检查通过。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展示口径必须匹配算法版本。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feat(p6-n03): 实现涨跌停与连板终端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实现轮动与热点终端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展示板块生命周期、交叉事件和事件证据。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apps/web/features/rotation/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时间轴、对比图、热点详情和历史回放。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图表数据与表格数据同源且时区一致。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视觉动画不能掩盖数据断点。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feat(p6-n04): 实现轮动与热点终端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实现股票 Intelligence Ranking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按特征组合生成可解释排行。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quant-core/ranking/、apps/web/features/ranking/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版本化 RankingSpec、分项贡献和筛选。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相同快照排名稳定；缺失特征处理可解释。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不得把排行表达为收益保证。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feat(p6-n05): 实现股票 Intelligence Ranking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实现个股 Intelligence 详情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聚合行情、情绪、板块、事件、席位、KOL 和特征。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apps/web/features/instrument/、apps/api/modules/instrument/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点时一致的详情查询和证据链接。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历史时间旅行查询不会混入最新资料。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避免 N+1 查询和跨库不一致快照。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feat(p6-n06): 实现个股 Intelligence 详情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实现自选与预警规则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支持用户组合条件、静默期和通知。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apps/api/modules/watchlist/、notification-worker/、apps/web/features/alerts/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规则 DSL、去重、节流、历史记录和预览。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重复事件、时区、禁用规则和失败通知测试通过。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规则表达式必须受限，不能执行任意代码。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feat(p6-n07): 实现自选与预警规则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建立模拟账户与组合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建模 PaperAccount、现金、持仓和净值。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contracts/portfolio/、quant-core/paper/、apps/api/modules/paper/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账户生命周期、初始资金和不可变流水。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任何时点可从流水重建账户状态。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模拟和未来实盘表必须逻辑隔离。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feat(p6-n08): 建立模拟账户与组合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 Signal 到 OrderIntent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把策略信号转换为目标仓位和订单意图。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quant-core/portfolio-construction/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组合约束、舍入、解释和拒绝原因。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现金不足、整手、集中度和冲突信号测试通过。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OrderIntent 不能直接发送到券商。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feat(p6-n09): 实现 Signal 到 OrderIntent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实现模拟成交与订单状态机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模拟创建、检查、提交、部分成交、成交与撤销。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quant-core/paper-execution/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幂等 clientOrderId、状态转换和事件日志。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重复请求、乱序回报和撤单竞态测试通过。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非法状态跳转必须拒绝并告警。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feat(p6-n10): 实现模拟成交与订单状态机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P6-N11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实现模拟风控与对账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在发单前后校验限额并与组合流水对账。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P6-N10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quant-core/risk/、services/notification-worker/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风险规则、拒绝事件、日终对账和差异报告。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越限、断线、重复成交和账面漂移演练通过。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风控不得只存在于前端。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feat(p6-n11): 实现模拟风控与对账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P6-N12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完成模拟耐久与恢复测试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连续运行、注入故障并验证恢复。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tests/endurance/、docs/runbooks/paper-trading.md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72 小时基线、故障矩阵、恢复手册和结果报告。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重启、消息重复、数据库短断、缓存丢失后能对账恢复。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未通过耐久测试不得进入 Phase 7。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feat(p6-n12): 完成模拟耐久与恢复测试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247B7B"/>
      </w:pPr>
      <w:r>
        <w:rPr>
          <w:rFonts w:ascii="Aptos" w:hAnsi="Aptos" w:eastAsia="Microsoft YaHei"/>
          <w:b/>
          <w:i w:val="0"/>
          <w:color w:val="FFFFFF"/>
          <w:sz w:val="20"/>
        </w:rPr>
        <w:t>P6-N13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构建贵金属基金专题终端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展示场内黄金及白银相关基金的行情、净值、溢折价、流动性、事件和排行。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apps/web/features/precious-metals/、apps/api/modules/precious-metals/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shadcn/ui 产品表、对比视图、事件时间轴、自选预警、缺失和过期状态。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数据时效、来源、版本、币种和不可用字段清晰；键盘、暗色和响应式检查通过。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不得暗示 NAV/iNAV 可成交，也不得展示现货/期货交易入口。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P6-N13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feat(p6-n13): 构建贵金属基金专题终端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8.8 Phase 7 — QMT、独立风控与实盘交易</w:t>
      </w:r>
    </w:p>
    <w:p>
      <w:pPr>
        <w:spacing w:before="0" w:after="120" w:line="283" w:lineRule="auto"/>
      </w:pPr>
      <w:r>
        <w:rPr>
          <w:rFonts w:ascii="Aptos" w:hAnsi="Aptos" w:eastAsia="Microsoft YaHei"/>
          <w:b/>
          <w:i w:val="0"/>
          <w:color w:val="17324D"/>
          <w:sz w:val="21"/>
        </w:rPr>
        <w:t>在独立部署边界内接入 QMT，并通过多重门禁、模拟优先、对账、风控和小资金灰度安全开放实盘。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F7F8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A23B3B"/>
                <w:sz w:val="21"/>
              </w:rPr>
              <w:t xml:space="preserve">阶段退出门槛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所有法规/券商要求已复核；纸面与真实环境隔离；灾难演练通过；人工批准后才允许小资金实盘。</w:t>
            </w:r>
          </w:p>
        </w:tc>
      </w:tr>
    </w:tbl>
    <w:p>
      <w:pPr>
        <w:spacing w:before="0" w:after="6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复核监管与券商准入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确认届时有效的程序化交易、接口、频率和报告要求。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6 退出门槛已通过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docs/compliance/、docs/adr/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日期化核查记录、券商确认、责任人和禁止项。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证据来源、核查日期和未决限制完整。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该节点需人工确认，不能由历史文档代替。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feat(p7-n01): 复核监管与券商准入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建立独立 Execution Service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物理隔离执行入口、凭证和部署权限。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services/execution/、infra/execution/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独立镜像、网络策略、最小权限和只读健康接口。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Phase 0–6 服务无法访问其密钥或内部端口。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控制面身份不能自动拥有交易权限。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feat(p7-n02): 建立独立 Execution Service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P7-N03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定义 BrokerAdapter 与 QMT 契约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统一账户、持仓、订单、成交和错误语义。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P7-N02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contracts/broker/、execution/brokers/qmt/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能力矩阵、错误分类、幂等键和模拟实现。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契约测试覆盖断线、超时、拒单和重复回报。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不要泄漏 QMT SDK 类型到领域层。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P7-N03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feat(p7-n03): 定义 BrokerAdapter 与 QMT 契约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P7-N04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接入 QMT 模拟环境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只连接模拟账户并完成查询和订单生命周期。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P7-N03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execution/brokers/qmt/paper/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连接、重连、查询、下单、撤单和回报适配。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配置无法指向真实账户；完整模拟流程测试通过。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任何实盘凭证都不得用于此节点。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P7-N04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feat(p7-n04): 接入 QMT 模拟环境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P7-N05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实现持久化订单状态机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保证订单在进程重启和回报乱序下保持一致。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P7-N04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execution/orders/、apps/api/migrations/orders/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Outbox/Inbox、状态转换、审计和 clientOrderId。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崩溃点注入后无重复下单，非法转换被拒绝。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数据库提交与外部调用的边界需明确。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P7-N05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feat(p7-n05): 实现持久化订单状态机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P7-N06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实现独立实时风控引擎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在执行服务外独立计算账户、证券、频率和损失限额。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P7-N05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services/risk-engine/、contracts/risk/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规则版本、快照、决策证据和 fail-closed 策略。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风控不可用时禁止新订单；边界和并发测试通过。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策略服务不能绕过风控。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P7-N06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feat(p7-n06): 实现独立实时风控引擎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P7-N07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实现账户持仓与成交对账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以券商事实校准内部账本并隔离差异。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P7-N06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execution/reconciliation/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启动、周期、日终对账和差异工作流。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断线、手工交易、部分成交和重复成交演练通过。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发现差异时必须暂停相关发单。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P7-N07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feat(p7-n07): 实现账户持仓与成交对账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P7-N08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实现 Kill Switch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独立禁止新订单、撤销未成交并保留审计。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P7-N07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services/risk-engine/kill-switch/、apps/web/features/trading-safety/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多通道触发、权限、确认、状态广播和恢复流程。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策略服务宕机时仍可触发；恢复需独立审批。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Kill Switch 不能依赖同一故障域。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P7-N08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feat(p7-n08): 实现 Kill Switch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P7-N09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建立实盘配置与审批门禁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用显式环境、双人审批和限额解锁真实账户。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P7-N08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infra/environments/live/、apps/api/modules/approvals/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默认关闭、短期授权、审计和自动过期。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缺少任一配置或审批均安全失败。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禁止通过配置缺失自动回退实盘。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P7-N09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feat(p7-n09): 建立实盘配置与审批门禁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P7-N10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建立交易可观测性与告警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监控连接、行情延迟、订单延迟、拒单、PnL 和风控。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P7-N09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infra/grafana/trading/、notification-worker/trading/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SLO、仪表盘、分级告警和处置手册。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告警演练能到达责任人且包含关联 ID。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指标标签不得暴露账户或密钥。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P7-N10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feat(p7-n10): 建立交易可观测性与告警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P7-N11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完成灾难与恢复演练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演练断网、QMT 重启、数据库切换、时钟漂移和重复消息。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P7-N10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tests/disaster/、docs/runbooks/live/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演练脚本、恢复时间、差异报告和改进项。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每种场景满足 RTO/RPO 和不重复下单要求。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演练必须在隔离环境且使用模拟账户。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P7-N11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feat(p7-n11): 完成灾难与恢复演练</w:t>
            </w:r>
          </w:p>
        </w:tc>
      </w:tr>
    </w:tbl>
    <w:p>
      <w:pPr>
        <w:spacing w:before="0" w:after="40" w:line="283" w:lineRule="auto"/>
      </w:pPr>
    </w:p>
    <w:p>
      <w:pPr>
        <w:keepNext/>
        <w:spacing w:before="200" w:after="80"/>
        <w:shd w:fill="A23B3B"/>
      </w:pPr>
      <w:r>
        <w:rPr>
          <w:rFonts w:ascii="Aptos" w:hAnsi="Aptos" w:eastAsia="Microsoft YaHei"/>
          <w:b/>
          <w:i w:val="0"/>
          <w:color w:val="FFFFFF"/>
          <w:sz w:val="20"/>
        </w:rPr>
        <w:t>P7-N12</w:t>
      </w:r>
      <w:r>
        <w:rPr>
          <w:rFonts w:ascii="Aptos" w:hAnsi="Aptos" w:eastAsia="Microsoft YaHei"/>
          <w:b/>
          <w:i w:val="0"/>
          <w:color w:val="FFFFFF"/>
          <w:sz w:val="22"/>
        </w:rPr>
        <w:t xml:space="preserve">  执行小资金实盘灰度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474"/>
        <w:gridCol w:w="7597"/>
      </w:tblGrid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目标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在人工批准后以极低限额验证真实链路。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依赖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P7-N11 已通过 Codex 审核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文件区域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docs/releases/live-pilot/、risk-engine/config/live-pilot/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主要交付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限定证券、时段、金额、订单数和退出条件。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实施循环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编写失败测试/验证夹具 → 运行并确认失败 → 最小实现 → 窄测试通过 → 受影响包全测 → 更新文档与提交。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验收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每个交易日人工复盘、券商对账一致、任一异常自动停止。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审核重点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该节点不是策略收益验证；不得自动扩大资金。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证据包</w:t>
            </w:r>
          </w:p>
        </w:tc>
        <w:tc>
          <w:tcPr>
            <w:tcW w:type="dxa" w:w="7597"/>
            <w:shd w:fill="F7F9FA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P7-N12 变更摘要、文件清单、测试命令与输出、静态检查/构建结果、截图或样例载荷、风险和未决事项。</w:t>
            </w:r>
          </w:p>
        </w:tc>
      </w:tr>
      <w:tr>
        <w:tc>
          <w:tcPr>
            <w:tcW w:type="dxa" w:w="1474"/>
            <w:shd w:fill="EEF3F6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17324D"/>
                <w:sz w:val="17"/>
              </w:rPr>
              <w:t>提交建议</w:t>
            </w:r>
          </w:p>
        </w:tc>
        <w:tc>
          <w:tcPr>
            <w:tcW w:type="dxa" w:w="7597"/>
          </w:tcPr>
          <w:p>
            <w:pPr>
              <w:spacing w:after="0" w:line="259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7"/>
              </w:rPr>
              <w:t>feat(p7-n12): 执行小资金实盘灰度</w:t>
            </w:r>
          </w:p>
        </w:tc>
      </w:tr>
    </w:tbl>
    <w:p>
      <w:pPr>
        <w:spacing w:before="0" w:after="40" w:line="283" w:lineRule="auto"/>
      </w:pPr>
    </w:p>
    <w:p>
      <w:r>
        <w:br w:type="page"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9. WorkBuddy 单节点任务模板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字段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交给 WorkBuddy 的固定要求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任务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只执行节点：&lt;NODE_ID&gt; &lt;TITLE&gt;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上下文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阅读本手册的全局约束、所属 Phase、当前节点与直接依赖节点；不要扩展范围。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实施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先写失败测试并记录失败，再完成最小实现；所有外部依赖使用模拟或测试环境。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禁止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不得领取下一节点；不得顺带升级依赖、重构无关模块或连接真实券商。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验证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依次运行 format、lint、typecheck、narrow test、affected test、build。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交付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变更摘要、文件清单、接口说明、测试输出、截图/样例、风险、未决事项和提交哈希。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9.1 标准任务提示词</w:t>
      </w:r>
    </w:p>
    <w:p>
      <w:r>
        <w:rPr>
          <w:rFonts w:ascii="Aptos" w:hAnsi="Aptos" w:eastAsia="Cascadia Mono"/>
          <w:b w:val="0"/>
          <w:i w:val="0"/>
          <w:color w:val="1F2933"/>
          <w:sz w:val="18"/>
        </w:rPr>
        <w:t>请仅实施《昆仑智策项目总体规划与分阶段实施手册》中的 &lt;NODE_ID&gt;：&lt;TITLE&gt;。</w:t>
        <w:br/>
      </w:r>
      <w:r>
        <w:rPr>
          <w:rFonts w:ascii="Aptos" w:hAnsi="Aptos" w:eastAsia="Cascadia Mono"/>
          <w:b w:val="0"/>
          <w:i w:val="0"/>
          <w:color w:val="1F2933"/>
          <w:sz w:val="18"/>
        </w:rPr>
        <w:t>严格遵守全局开发规范、LF 与三端兼容要求，以及该节点的依赖、文件区域、验收和审核重点。</w:t>
        <w:br/>
      </w:r>
      <w:r>
        <w:rPr>
          <w:rFonts w:ascii="Aptos" w:hAnsi="Aptos" w:eastAsia="Cascadia Mono"/>
          <w:b w:val="0"/>
          <w:i w:val="0"/>
          <w:color w:val="1F2933"/>
          <w:sz w:val="18"/>
        </w:rPr>
        <w:t>先编写失败测试并确认失败，再完成最小实现。不得实现后续节点，不得进行无关重构或依赖升级。</w:t>
        <w:br/>
      </w:r>
      <w:r>
        <w:rPr>
          <w:rFonts w:ascii="Aptos" w:hAnsi="Aptos" w:eastAsia="Cascadia Mono"/>
          <w:b w:val="0"/>
          <w:i w:val="0"/>
          <w:color w:val="1F2933"/>
          <w:sz w:val="18"/>
        </w:rPr>
        <w:t>完成后提供：变更摘要、文件清单、关键设计决定、全部验证命令与结果、截图或样例载荷、风险、未决事项、提交哈希。然后停止，等待 Codex 审核。</w:t>
        <w:br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10. Codex 审核清单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814"/>
        <w:gridCol w:w="7257"/>
      </w:tblGrid>
      <w:tr>
        <w:trPr>
          <w:tblHeader w:val="true"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检查域</w:t>
            </w:r>
          </w:p>
        </w:tc>
        <w:tc>
          <w:tcPr>
            <w:tcW w:type="dxa" w:w="72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审核问题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需求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是否完整满足当前节点，且没有提前实现后续范围？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边界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依赖方向、契约、存储职责和服务责任是否正确？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类型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TypeScript/Python 类型是否明确，外部输入是否验证？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数据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时间、精度、版本、幂等、审计和点时语义是否正确？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测试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是否先失败后通过，覆盖正常、边界、失败及关键回归？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安全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是否泄密、越权、暴露实盘路径或出现 fail-open？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跨平台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是否保持 LF，路径、脚本和命令是否适配三端？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前端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是否复用 shadcn/ui，覆盖四态、暗色、键盘和响应式？</w:t>
            </w:r>
          </w:p>
        </w:tc>
      </w:tr>
      <w:tr>
        <w:tc>
          <w:tcPr>
            <w:tcW w:type="dxa" w:w="181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运维</w:t>
            </w:r>
          </w:p>
        </w:tc>
        <w:tc>
          <w:tcPr>
            <w:tcW w:type="dxa" w:w="7257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日志、指标、告警、Runbook 和回滚是否与风险匹配？</w:t>
            </w:r>
          </w:p>
        </w:tc>
      </w:tr>
      <w:tr>
        <w:tc>
          <w:tcPr>
            <w:tcW w:type="dxa" w:w="181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提交</w:t>
            </w:r>
          </w:p>
        </w:tc>
        <w:tc>
          <w:tcPr>
            <w:tcW w:type="dxa" w:w="7257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变更是否聚焦，文档与证据包是否完整？</w:t>
            </w:r>
          </w:p>
        </w:tc>
      </w:tr>
    </w:tbl>
    <w:p>
      <w:pPr>
        <w:spacing w:before="0" w:after="60" w:line="283" w:lineRule="auto"/>
      </w:pP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10.1 审核结论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通过：无阻断问题，可进入后续依赖节点。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有条件通过：只有不影响正确性和安全性的明确跟踪项。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退回：需求、架构、数据正确性、测试或安全存在阻断问题。</w:t>
      </w:r>
    </w:p>
    <w:p>
      <w:pPr>
        <w:pStyle w:val="ListBullet"/>
        <w:spacing w:before="0" w:after="60" w:line="283" w:lineRule="auto"/>
      </w:pPr>
      <w:r>
        <w:rPr>
          <w:rFonts w:ascii="Aptos" w:hAnsi="Aptos" w:eastAsia="Microsoft YaHei"/>
          <w:b w:val="0"/>
          <w:i w:val="0"/>
          <w:color w:val="1F2933"/>
          <w:sz w:val="21"/>
        </w:rPr>
        <w:t>停止：发现真实交易绕过、密钥泄露、不可逆数据破坏或无法解释的对账差异。</w:t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11. 实盘开放门禁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5386"/>
        <w:gridCol w:w="1984"/>
      </w:tblGrid>
      <w:tr>
        <w:trPr>
          <w:tblHeader w:val="true"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门禁</w:t>
            </w:r>
          </w:p>
        </w:tc>
        <w:tc>
          <w:tcPr>
            <w:tcW w:type="dxa" w:w="538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要求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7"/>
              </w:rPr>
              <w:t>证据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法规与券商</w:t>
            </w:r>
          </w:p>
        </w:tc>
        <w:tc>
          <w:tcPr>
            <w:tcW w:type="dxa" w:w="5386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核实届时有效规则、程序化报告、QMT 权限、接口与频率限制</w:t>
            </w:r>
          </w:p>
        </w:tc>
        <w:tc>
          <w:tcPr>
            <w:tcW w:type="dxa" w:w="198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人工签字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环境隔离</w:t>
            </w:r>
          </w:p>
        </w:tc>
        <w:tc>
          <w:tcPr>
            <w:tcW w:type="dxa" w:w="5386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模拟/实盘账户、凭证、数据库、网络、日志和审批完全隔离</w:t>
            </w:r>
          </w:p>
        </w:tc>
        <w:tc>
          <w:tcPr>
            <w:tcW w:type="dxa" w:w="198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安全审计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订单安全</w:t>
            </w:r>
          </w:p>
        </w:tc>
        <w:tc>
          <w:tcPr>
            <w:tcW w:type="dxa" w:w="5386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幂等、状态机、重复回报、撤单竞态、崩溃恢复测试通过</w:t>
            </w:r>
          </w:p>
        </w:tc>
        <w:tc>
          <w:tcPr>
            <w:tcW w:type="dxa" w:w="198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测试报告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独立风控</w:t>
            </w:r>
          </w:p>
        </w:tc>
        <w:tc>
          <w:tcPr>
            <w:tcW w:type="dxa" w:w="5386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风控不可用时 fail-closed；策略无法绕过</w:t>
            </w:r>
          </w:p>
        </w:tc>
        <w:tc>
          <w:tcPr>
            <w:tcW w:type="dxa" w:w="198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故障注入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对账</w:t>
            </w:r>
          </w:p>
        </w:tc>
        <w:tc>
          <w:tcPr>
            <w:tcW w:type="dxa" w:w="5386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启动、周期、日终对账与差异暂停机制通过</w:t>
            </w:r>
          </w:p>
        </w:tc>
        <w:tc>
          <w:tcPr>
            <w:tcW w:type="dxa" w:w="198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演练证据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Kill Switch</w:t>
            </w:r>
          </w:p>
        </w:tc>
        <w:tc>
          <w:tcPr>
            <w:tcW w:type="dxa" w:w="5386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独立故障域、多通道触发、恢复需审批</w:t>
            </w:r>
          </w:p>
        </w:tc>
        <w:tc>
          <w:tcPr>
            <w:tcW w:type="dxa" w:w="198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实操演练</w:t>
            </w:r>
          </w:p>
        </w:tc>
      </w:tr>
      <w:tr>
        <w:tc>
          <w:tcPr>
            <w:tcW w:type="dxa" w:w="1701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可观测性</w:t>
            </w:r>
          </w:p>
        </w:tc>
        <w:tc>
          <w:tcPr>
            <w:tcW w:type="dxa" w:w="5386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连接、延迟、拒单、PnL、风控与告警链路完整</w:t>
            </w:r>
          </w:p>
        </w:tc>
        <w:tc>
          <w:tcPr>
            <w:tcW w:type="dxa" w:w="1984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值守确认</w:t>
            </w:r>
          </w:p>
        </w:tc>
      </w:tr>
      <w:tr>
        <w:tc>
          <w:tcPr>
            <w:tcW w:type="dxa" w:w="1701"/>
            <w:shd w:fill="F7F9FA"/>
          </w:tcPr>
          <w:p>
            <w:pPr>
              <w:spacing w:after="0" w:line="264" w:lineRule="auto"/>
              <w:jc w:val="center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灰度</w:t>
            </w:r>
          </w:p>
        </w:tc>
        <w:tc>
          <w:tcPr>
            <w:tcW w:type="dxa" w:w="5386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限定证券、时段、金额、订单数和停止条件</w:t>
            </w:r>
          </w:p>
        </w:tc>
        <w:tc>
          <w:tcPr>
            <w:tcW w:type="dxa" w:w="1984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6"/>
              </w:rPr>
              <w:t>逐日批准</w:t>
            </w:r>
          </w:p>
        </w:tc>
      </w:tr>
    </w:tbl>
    <w:p>
      <w:pPr>
        <w:spacing w:before="0" w:after="60" w:line="283" w:lineRule="auto"/>
      </w:pP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0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BEFEF"/>
          </w:tcPr>
          <w:p>
            <w:pPr>
              <w:spacing w:after="0" w:line="276" w:lineRule="auto"/>
            </w:pPr>
            <w:r>
              <w:rPr>
                <w:rFonts w:ascii="Aptos" w:hAnsi="Aptos" w:eastAsia="Microsoft YaHei"/>
                <w:b/>
                <w:i w:val="0"/>
                <w:color w:val="A23B3B"/>
                <w:sz w:val="21"/>
              </w:rPr>
              <w:t xml:space="preserve">默认结论  </w:t>
            </w:r>
            <w:r>
              <w:rPr>
                <w:rFonts w:ascii="Aptos" w:hAnsi="Aptos" w:eastAsia="Microsoft YaHei"/>
                <w:b w:val="0"/>
                <w:i w:val="0"/>
                <w:color w:val="1F2933"/>
                <w:sz w:val="21"/>
              </w:rPr>
              <w:t>只要任一门禁证据缺失，系统结论必须是“禁止实盘”。不得以配置缺失、负责人不在线或市场机会紧迫为理由绕过。</w:t>
            </w:r>
          </w:p>
        </w:tc>
      </w:tr>
    </w:tbl>
    <w:p>
      <w:pPr>
        <w:spacing w:before="0" w:after="60" w:line="283" w:lineRule="auto"/>
      </w:pP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附录 A：统一配置</w:t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A.1 .editorconfig</w:t>
      </w:r>
    </w:p>
    <w:p>
      <w:r>
        <w:rPr>
          <w:rFonts w:ascii="Aptos" w:hAnsi="Aptos" w:eastAsia="Cascadia Mono"/>
          <w:b w:val="0"/>
          <w:i w:val="0"/>
          <w:color w:val="1F2933"/>
          <w:sz w:val="17"/>
        </w:rPr>
        <w:t>root = true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[*]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charset = utf-8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end_of_line = lf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insert_final_newline = true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indent_style = space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indent_size = 2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trim_trailing_whitespace = true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[*.py]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indent_size = 4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[*.{md,mdx}]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trim_trailing_whitespace = false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[*.{yaml,yml}]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indent_size = 2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[Makefile]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indent_style = tab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[*.{bat,cmd}]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end_of_line = crlf</w:t>
        <w:br/>
      </w:r>
    </w:p>
    <w:p>
      <w:pPr>
        <w:pStyle w:val="Heading2"/>
        <w:keepNext/>
      </w:pPr>
      <w:r>
        <w:rPr>
          <w:rFonts w:ascii="Aptos" w:hAnsi="Aptos" w:eastAsia="Microsoft YaHei"/>
          <w:b/>
          <w:i w:val="0"/>
          <w:color w:val="2E668D"/>
          <w:sz w:val="27"/>
        </w:rPr>
        <w:t>A.2 .gitattributes</w:t>
      </w:r>
    </w:p>
    <w:p>
      <w:r>
        <w:rPr>
          <w:rFonts w:ascii="Aptos" w:hAnsi="Aptos" w:eastAsia="Cascadia Mono"/>
          <w:b w:val="0"/>
          <w:i w:val="0"/>
          <w:color w:val="1F2933"/>
          <w:sz w:val="17"/>
        </w:rPr>
        <w:t>* text=auto eol=lf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*.bat text eol=crlf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*.cmd text eol=crlf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*.png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*.jpg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*.jpeg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*.gif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*.pdf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*.docx binary</w:t>
        <w:br/>
      </w:r>
      <w:r>
        <w:rPr>
          <w:rFonts w:ascii="Aptos" w:hAnsi="Aptos" w:eastAsia="Cascadia Mono"/>
          <w:b w:val="0"/>
          <w:i w:val="0"/>
          <w:color w:val="1F2933"/>
          <w:sz w:val="17"/>
        </w:rPr>
        <w:t>*.parquet binary</w:t>
        <w:br/>
      </w:r>
    </w:p>
    <w:p>
      <w:pPr>
        <w:pStyle w:val="Heading1"/>
        <w:keepNext/>
      </w:pPr>
      <w:r>
        <w:rPr>
          <w:rFonts w:ascii="Aptos" w:hAnsi="Aptos" w:eastAsia="Microsoft YaHei"/>
          <w:b/>
          <w:i w:val="0"/>
          <w:color w:val="17324D"/>
          <w:sz w:val="34"/>
        </w:rPr>
        <w:t>附录 B：术语表</w:t>
      </w:r>
    </w:p>
    <w:tbl>
      <w:tblPr>
        <w:tblStyle w:val="TableGrid"/>
        <w:tblW w:type="dxa" w:w="9071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tblHeader w:val="true"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术语</w:t>
            </w:r>
          </w:p>
        </w:tc>
        <w:tc>
          <w:tcPr>
            <w:tcW w:type="dxa" w:w="680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17324D"/>
          </w:tcPr>
          <w:p>
            <w:pPr>
              <w:spacing w:after="0"/>
              <w:jc w:val="center"/>
            </w:pPr>
            <w:r>
              <w:rPr>
                <w:rFonts w:ascii="Aptos" w:hAnsi="Aptos" w:eastAsia="Microsoft YaHei"/>
                <w:b/>
                <w:i w:val="0"/>
                <w:color w:val="FFFFFF"/>
                <w:sz w:val="19"/>
              </w:rPr>
              <w:t>定义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Provider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外部数据或服务的适配接口，领域逻辑不依赖具体供应商。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Claim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KOL 公开表达的交易或持仓声明，不等同券商成交事实。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Point-in-time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只使用目标时刻已经可见的数据进行研究或决策。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FeatureSpec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特征名称、实体、频率、版本、依赖与有效时间的定义。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OrderIntent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经组合构建得到、尚未进入券商的订单意图。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Fail-closed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依赖或风控异常时默认拒绝新订单，而非继续交易。</w:t>
            </w:r>
          </w:p>
        </w:tc>
      </w:tr>
      <w:tr>
        <w:tc>
          <w:tcPr>
            <w:tcW w:type="dxa" w:w="2268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Kill Switch</w:t>
            </w:r>
          </w:p>
        </w:tc>
        <w:tc>
          <w:tcPr>
            <w:tcW w:type="dxa" w:w="6803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独立禁止新订单并可撤销未成交订单的安全机制。</w:t>
            </w:r>
          </w:p>
        </w:tc>
      </w:tr>
      <w:tr>
        <w:tc>
          <w:tcPr>
            <w:tcW w:type="dxa" w:w="2268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Evidence Packet</w:t>
            </w:r>
          </w:p>
        </w:tc>
        <w:tc>
          <w:tcPr>
            <w:tcW w:type="dxa" w:w="6803"/>
            <w:shd w:fill="F7F9FA"/>
          </w:tcPr>
          <w:p>
            <w:pPr>
              <w:spacing w:after="0" w:line="264" w:lineRule="auto"/>
            </w:pPr>
            <w:r>
              <w:rPr>
                <w:rFonts w:ascii="Aptos" w:hAnsi="Aptos" w:eastAsia="Microsoft YaHei"/>
                <w:b w:val="0"/>
                <w:i w:val="0"/>
                <w:color w:val="1F2933"/>
                <w:sz w:val="18"/>
              </w:rPr>
              <w:t>WorkBuddy 节点交付时提供的代码、测试、截图、风险和提交证据。</w:t>
            </w:r>
          </w:p>
        </w:tc>
      </w:tr>
    </w:tbl>
    <w:p>
      <w:pPr>
        <w:spacing w:before="0" w:after="60" w:line="283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134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Microsoft YaHei"/>
        <w:b w:val="0"/>
        <w:i w:val="0"/>
        <w:color w:val="667786"/>
        <w:sz w:val="17"/>
      </w:rPr>
      <w:t xml:space="preserve">项目总体规划与分阶段实施手册  ·  </w:t>
    </w:r>
    <w:r>
      <w:rPr>
        <w:rFonts w:ascii="Aptos" w:hAnsi="Aptos" w:eastAsia="Microsoft YaHei"/>
        <w:b w:val="0"/>
        <w:i w:val="0"/>
        <w:color w:val="66778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Microsoft YaHei"/>
        <w:b/>
        <w:i w:val="0"/>
        <w:color w:val="667786"/>
        <w:sz w:val="17"/>
      </w:rPr>
      <w:t>昆仑智策  |  KUNLUN ALPHA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668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47B7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昆仑智策项目总体规划与分阶段实施手册</dc:title>
  <dc:subject>Kunlun Alpha A-share Intelligence &amp; Quant Platform</dc:subject>
  <dc:creator>Kunlun Alpha Project</dc:creator>
  <cp:keywords>A股, 量化, Intelligence, WorkBuddy, Codex, QMT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